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183C" w14:textId="77777777" w:rsidR="002B7EF2" w:rsidRDefault="002B7EF2" w:rsidP="00AA3F8C">
      <w:pPr>
        <w:pStyle w:val="Heading1"/>
      </w:pPr>
    </w:p>
    <w:p w14:paraId="713C6453" w14:textId="77777777" w:rsidR="00AA3F8C" w:rsidRPr="00AA3F8C" w:rsidRDefault="002152DF" w:rsidP="002B7EF2">
      <w:pPr>
        <w:pStyle w:val="Heading1"/>
        <w:ind w:left="0" w:firstLine="0"/>
      </w:pPr>
      <w:r>
        <w:t>S</w:t>
      </w:r>
      <w:r w:rsidR="006119B0">
        <w:t>ite preparation for a monitoring visit</w:t>
      </w:r>
      <w:r w:rsidR="00805004">
        <w:t xml:space="preserve"> – Essential Documents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6041"/>
        <w:gridCol w:w="1705"/>
        <w:gridCol w:w="2962"/>
      </w:tblGrid>
      <w:tr w:rsidR="00433279" w:rsidRPr="00433279" w14:paraId="0E4985C3" w14:textId="77777777" w:rsidTr="002152DF">
        <w:trPr>
          <w:cantSplit/>
          <w:trHeight w:val="720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14:paraId="34E1BCA3" w14:textId="77777777" w:rsidR="00433279" w:rsidRPr="00433279" w:rsidRDefault="00433279" w:rsidP="00433279">
            <w:pPr>
              <w:pStyle w:val="TH-TableHeading"/>
              <w:jc w:val="right"/>
            </w:pPr>
            <w:r w:rsidRPr="00433279">
              <w:t>Protocol Number/</w:t>
            </w:r>
          </w:p>
          <w:p w14:paraId="530E960D" w14:textId="77777777" w:rsidR="00433279" w:rsidRPr="00433279" w:rsidRDefault="00433279" w:rsidP="00433279">
            <w:pPr>
              <w:pStyle w:val="TH-TableHeading"/>
              <w:jc w:val="right"/>
            </w:pPr>
            <w:r w:rsidRPr="00433279">
              <w:t>Abbreviated</w:t>
            </w:r>
            <w:r w:rsidR="006B41C3">
              <w:t xml:space="preserve"> </w:t>
            </w:r>
            <w:r w:rsidRPr="00433279">
              <w:t>Title: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719F4C95" w14:textId="77777777" w:rsidR="00433279" w:rsidRPr="00433279" w:rsidRDefault="00433279" w:rsidP="00433279">
            <w:pPr>
              <w:pStyle w:val="TX-TableText"/>
              <w:ind w:left="0"/>
            </w:pP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0749E47F" w14:textId="77777777" w:rsidR="00433279" w:rsidRPr="00433279" w:rsidRDefault="00433279" w:rsidP="00433279">
            <w:pPr>
              <w:pStyle w:val="TH-TableHeading"/>
              <w:jc w:val="right"/>
            </w:pPr>
            <w:r w:rsidRPr="00433279">
              <w:t>Date of Review: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8CF930F" w14:textId="77777777" w:rsidR="00433279" w:rsidRPr="00433279" w:rsidRDefault="00433279" w:rsidP="00DD319C">
            <w:pPr>
              <w:pStyle w:val="TX-TableText"/>
              <w:ind w:left="0"/>
              <w:jc w:val="center"/>
            </w:pPr>
          </w:p>
        </w:tc>
      </w:tr>
      <w:tr w:rsidR="00433279" w:rsidRPr="00433279" w14:paraId="3316058E" w14:textId="77777777" w:rsidTr="002152DF">
        <w:trPr>
          <w:cantSplit/>
          <w:trHeight w:val="720"/>
        </w:trPr>
        <w:tc>
          <w:tcPr>
            <w:tcW w:w="79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59D3F1D" w14:textId="77777777" w:rsidR="00433279" w:rsidRPr="00433279" w:rsidRDefault="006119B0" w:rsidP="00433279">
            <w:pPr>
              <w:pStyle w:val="TH-TableHeading"/>
              <w:jc w:val="right"/>
            </w:pPr>
            <w:r>
              <w:t>Study Coordinator/Delegate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1AFE" w14:textId="77777777" w:rsidR="00433279" w:rsidRPr="00433279" w:rsidRDefault="00433279" w:rsidP="00433279">
            <w:pPr>
              <w:pStyle w:val="TX-TableText"/>
              <w:ind w:left="0"/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F976BD9" w14:textId="77777777" w:rsidR="00433279" w:rsidRPr="00433279" w:rsidRDefault="006119B0" w:rsidP="00433279">
            <w:pPr>
              <w:pStyle w:val="TH-TableHeading"/>
              <w:jc w:val="right"/>
            </w:pPr>
            <w:r>
              <w:t xml:space="preserve">Principal Investigator 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13B1F" w14:textId="77777777" w:rsidR="00433279" w:rsidRPr="00433279" w:rsidRDefault="00433279" w:rsidP="00DD319C">
            <w:pPr>
              <w:pStyle w:val="TX-TableText"/>
              <w:ind w:left="0"/>
              <w:jc w:val="center"/>
            </w:pPr>
          </w:p>
        </w:tc>
      </w:tr>
    </w:tbl>
    <w:p w14:paraId="6EDFE4A3" w14:textId="77777777" w:rsidR="00877CB9" w:rsidRDefault="00877CB9"/>
    <w:p w14:paraId="1E532911" w14:textId="77777777" w:rsidR="00877CB9" w:rsidRDefault="00877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4"/>
        <w:gridCol w:w="5538"/>
        <w:gridCol w:w="557"/>
        <w:gridCol w:w="524"/>
        <w:gridCol w:w="603"/>
        <w:gridCol w:w="3064"/>
      </w:tblGrid>
      <w:tr w:rsidR="009158E1" w:rsidRPr="00AF2E98" w14:paraId="14B2E0CE" w14:textId="77777777" w:rsidTr="008A3780">
        <w:trPr>
          <w:cantSplit/>
          <w:trHeight w:val="432"/>
          <w:tblHeader/>
        </w:trPr>
        <w:tc>
          <w:tcPr>
            <w:tcW w:w="102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5B41B8" w14:textId="77777777" w:rsidR="00433279" w:rsidRPr="00AF2E98" w:rsidRDefault="00433279" w:rsidP="00DD319C">
            <w:pPr>
              <w:pStyle w:val="TH-TableHeading"/>
            </w:pPr>
            <w:r w:rsidRPr="00AF2E98">
              <w:t>Document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2F53A2A" w14:textId="77777777" w:rsidR="00433279" w:rsidRPr="00AF2E98" w:rsidRDefault="00433279" w:rsidP="00DD319C">
            <w:pPr>
              <w:pStyle w:val="TH-TableHeading"/>
            </w:pPr>
            <w:r w:rsidRPr="00AF2E98">
              <w:t>Criteria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C51CBA" w14:textId="77777777" w:rsidR="00433279" w:rsidRDefault="00433279" w:rsidP="00DD319C">
            <w:pPr>
              <w:pStyle w:val="TH-TableHeading"/>
            </w:pPr>
            <w:r w:rsidRPr="00AF2E98">
              <w:t>YES</w:t>
            </w:r>
          </w:p>
          <w:p w14:paraId="68EBB947" w14:textId="77777777" w:rsidR="00D73D58" w:rsidRPr="00AF2E98" w:rsidRDefault="00D73D58" w:rsidP="00DD319C">
            <w:pPr>
              <w:pStyle w:val="TH-TableHeading"/>
            </w:pPr>
            <w:r>
              <w:sym w:font="Wingdings" w:char="F0FC"/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62FC1FE" w14:textId="77777777" w:rsidR="00433279" w:rsidRDefault="00433279" w:rsidP="00DD319C">
            <w:pPr>
              <w:pStyle w:val="TH-TableHeading"/>
            </w:pPr>
            <w:r w:rsidRPr="00AF2E98">
              <w:t>NO</w:t>
            </w:r>
          </w:p>
          <w:p w14:paraId="61320803" w14:textId="77777777" w:rsidR="00D73D58" w:rsidRPr="00AF2E98" w:rsidRDefault="00D73D58" w:rsidP="00DD319C">
            <w:pPr>
              <w:pStyle w:val="TH-TableHeading"/>
            </w:pPr>
            <w:r>
              <w:sym w:font="Wingdings" w:char="F0FC"/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6A33A7" w14:textId="77777777" w:rsidR="00433279" w:rsidRDefault="00433279" w:rsidP="00DD319C">
            <w:pPr>
              <w:pStyle w:val="TH-TableHeading"/>
            </w:pPr>
            <w:r w:rsidRPr="00AF2E98">
              <w:t>N/A</w:t>
            </w:r>
          </w:p>
          <w:p w14:paraId="204C8255" w14:textId="77777777" w:rsidR="00D73D58" w:rsidRPr="00AF2E98" w:rsidRDefault="00D73D58" w:rsidP="00DD319C">
            <w:pPr>
              <w:pStyle w:val="TH-TableHeading"/>
            </w:pPr>
            <w:r>
              <w:sym w:font="Wingdings" w:char="F0FC"/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30C99A" w14:textId="77777777" w:rsidR="00433279" w:rsidRPr="00AF2E98" w:rsidRDefault="00433279" w:rsidP="00DD319C">
            <w:pPr>
              <w:pStyle w:val="TH-TableHeading"/>
            </w:pPr>
            <w:r w:rsidRPr="00AF2E98">
              <w:t>Comments</w:t>
            </w:r>
          </w:p>
        </w:tc>
      </w:tr>
      <w:tr w:rsidR="00877CB9" w:rsidRPr="00AF2E98" w14:paraId="6A9E6B3D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D66F9BB" w14:textId="77777777" w:rsidR="00877CB9" w:rsidRDefault="00877CB9" w:rsidP="002B7EF2">
            <w:pPr>
              <w:pStyle w:val="TH-TableHeading"/>
              <w:jc w:val="left"/>
            </w:pPr>
            <w:r>
              <w:t xml:space="preserve">Sponsor/Site contact List 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62874BEE" w14:textId="77777777" w:rsidR="00877CB9" w:rsidRDefault="00877CB9" w:rsidP="001066CD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Ensure an updated contact list is filed in the </w:t>
            </w:r>
            <w:r w:rsidR="00BC6BA7">
              <w:rPr>
                <w:snapToGrid w:val="0"/>
              </w:rPr>
              <w:t>Investigator Site File (</w:t>
            </w:r>
            <w:r>
              <w:rPr>
                <w:snapToGrid w:val="0"/>
              </w:rPr>
              <w:t>ISF</w:t>
            </w:r>
            <w:r w:rsidR="00BC6BA7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7B78D0DC" w14:textId="77777777" w:rsidR="00877CB9" w:rsidRPr="006B41C3" w:rsidRDefault="00877CB9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64F17B3C" w14:textId="77777777" w:rsidR="00877CB9" w:rsidRPr="006B41C3" w:rsidRDefault="00877CB9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1F119B9E" w14:textId="77777777" w:rsidR="00877CB9" w:rsidRPr="006B41C3" w:rsidRDefault="00877CB9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018BC8AE" w14:textId="77777777" w:rsidR="00877CB9" w:rsidRPr="006B41C3" w:rsidRDefault="00877CB9" w:rsidP="00C90146">
            <w:pPr>
              <w:pStyle w:val="TX-TableText"/>
              <w:ind w:left="0"/>
            </w:pPr>
          </w:p>
        </w:tc>
      </w:tr>
      <w:tr w:rsidR="002B7EF2" w:rsidRPr="00AF2E98" w14:paraId="2FA27BFB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A84ED8F" w14:textId="77777777" w:rsidR="002B7EF2" w:rsidRPr="00AF2E98" w:rsidRDefault="002B7EF2" w:rsidP="002B7EF2">
            <w:pPr>
              <w:pStyle w:val="TH-TableHeading"/>
              <w:jc w:val="left"/>
            </w:pPr>
            <w:r>
              <w:t xml:space="preserve">HREC </w:t>
            </w:r>
            <w:r w:rsidRPr="00AF2E98">
              <w:t xml:space="preserve">Approvals </w:t>
            </w:r>
          </w:p>
          <w:p w14:paraId="389A698E" w14:textId="77777777" w:rsidR="002B7EF2" w:rsidRPr="00AF2E98" w:rsidRDefault="002B7EF2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16D047ED" w14:textId="77777777" w:rsidR="001066CD" w:rsidRDefault="001066CD" w:rsidP="001066CD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HREC </w:t>
            </w:r>
            <w:r w:rsidRPr="001066CD">
              <w:rPr>
                <w:snapToGrid w:val="0"/>
              </w:rPr>
              <w:t>Approval</w:t>
            </w:r>
            <w:r>
              <w:rPr>
                <w:snapToGrid w:val="0"/>
              </w:rPr>
              <w:t xml:space="preserve"> documentation is filed in chronological order in the appropriate section of the ISF. </w:t>
            </w:r>
          </w:p>
          <w:p w14:paraId="2CC1369D" w14:textId="77777777" w:rsidR="00B515D1" w:rsidRDefault="001066CD" w:rsidP="00B515D1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This can include </w:t>
            </w:r>
            <w:r w:rsidRPr="00B515D1">
              <w:rPr>
                <w:b/>
                <w:snapToGrid w:val="0"/>
              </w:rPr>
              <w:t>but is not limited to</w:t>
            </w:r>
            <w:r w:rsidR="00B515D1">
              <w:rPr>
                <w:snapToGrid w:val="0"/>
              </w:rPr>
              <w:t>;</w:t>
            </w:r>
          </w:p>
          <w:p w14:paraId="5A547EBB" w14:textId="7636C394" w:rsidR="00B515D1" w:rsidRDefault="00B515D1" w:rsidP="00B515D1">
            <w:pPr>
              <w:pStyle w:val="TX-TableText"/>
              <w:numPr>
                <w:ilvl w:val="0"/>
                <w:numId w:val="14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Initial HREC submission/Approval </w:t>
            </w:r>
          </w:p>
          <w:p w14:paraId="10C64C38" w14:textId="6C3E6899" w:rsidR="00B515D1" w:rsidRDefault="00B515D1" w:rsidP="00B515D1">
            <w:pPr>
              <w:pStyle w:val="TX-TableText"/>
              <w:numPr>
                <w:ilvl w:val="0"/>
                <w:numId w:val="14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Protocol amendment submission/approval  </w:t>
            </w:r>
          </w:p>
          <w:p w14:paraId="4F6412AF" w14:textId="2266C07C" w:rsidR="001066CD" w:rsidRPr="00AF2E98" w:rsidRDefault="001066CD" w:rsidP="00B515D1">
            <w:pPr>
              <w:pStyle w:val="TX-TableText"/>
              <w:numPr>
                <w:ilvl w:val="0"/>
                <w:numId w:val="14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Annual and safety reports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4D2D9745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691107C8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4D647C11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22F86E0C" w14:textId="77777777" w:rsidR="002B7EF2" w:rsidRPr="006B41C3" w:rsidRDefault="002B7EF2" w:rsidP="00C90146">
            <w:pPr>
              <w:pStyle w:val="TX-TableText"/>
              <w:ind w:left="0"/>
            </w:pPr>
          </w:p>
        </w:tc>
      </w:tr>
      <w:tr w:rsidR="001066CD" w:rsidRPr="00AF2E98" w14:paraId="20A645A8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77B19D0" w14:textId="0B58E015" w:rsidR="001066CD" w:rsidRDefault="001066CD" w:rsidP="001066CD">
            <w:pPr>
              <w:pStyle w:val="TH-TableHeading"/>
              <w:jc w:val="left"/>
            </w:pPr>
            <w:r w:rsidRPr="001066CD">
              <w:t>Approving HREC Committee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1899FAEF" w14:textId="77777777" w:rsidR="001066CD" w:rsidRPr="009158E1" w:rsidRDefault="001066CD" w:rsidP="001066CD">
            <w:pPr>
              <w:pStyle w:val="TX-TableText"/>
              <w:ind w:left="0"/>
              <w:rPr>
                <w:snapToGrid w:val="0"/>
              </w:rPr>
            </w:pPr>
            <w:r w:rsidRPr="001066CD">
              <w:rPr>
                <w:snapToGrid w:val="0"/>
              </w:rPr>
              <w:t>A HREC Membership composition is on file and has been updated annually.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663C6968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36A498AB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6381A273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7F41F6CE" w14:textId="77777777" w:rsidR="001066CD" w:rsidRPr="006B41C3" w:rsidRDefault="001066CD" w:rsidP="00C90146">
            <w:pPr>
              <w:pStyle w:val="TX-TableText"/>
              <w:ind w:left="0"/>
            </w:pPr>
          </w:p>
        </w:tc>
      </w:tr>
      <w:tr w:rsidR="002B7EF2" w:rsidRPr="00AF2E98" w14:paraId="13302DCA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5CB0B95" w14:textId="77777777" w:rsidR="002B7EF2" w:rsidRPr="00AF2E98" w:rsidRDefault="001066CD" w:rsidP="001066CD">
            <w:pPr>
              <w:pStyle w:val="TH-TableHeading"/>
              <w:jc w:val="left"/>
            </w:pPr>
            <w:r>
              <w:t xml:space="preserve">TGA Notification (if required) 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79882CE4" w14:textId="77777777" w:rsidR="002B7EF2" w:rsidRPr="00AF2E98" w:rsidRDefault="001066CD" w:rsidP="001066CD">
            <w:pPr>
              <w:pStyle w:val="TX-TableText"/>
              <w:ind w:left="0"/>
              <w:rPr>
                <w:snapToGrid w:val="0"/>
              </w:rPr>
            </w:pPr>
            <w:r w:rsidRPr="009158E1">
              <w:rPr>
                <w:snapToGrid w:val="0"/>
              </w:rPr>
              <w:t xml:space="preserve">(CTN/CTX) receipt is filed </w:t>
            </w:r>
            <w:r>
              <w:rPr>
                <w:snapToGrid w:val="0"/>
              </w:rPr>
              <w:t xml:space="preserve">and the approved site is named on the receipt </w:t>
            </w:r>
            <w:r w:rsidR="001B5C68">
              <w:rPr>
                <w:snapToGrid w:val="0"/>
              </w:rPr>
              <w:t>e.g</w:t>
            </w:r>
            <w:r w:rsidR="007478C2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Bankstown Hospital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782F17E4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41B489C7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46166C30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65413F8F" w14:textId="77777777" w:rsidR="002B7EF2" w:rsidRPr="006B41C3" w:rsidRDefault="002B7EF2" w:rsidP="00C90146">
            <w:pPr>
              <w:pStyle w:val="TX-TableText"/>
              <w:ind w:left="0"/>
            </w:pPr>
          </w:p>
        </w:tc>
      </w:tr>
      <w:tr w:rsidR="002B7EF2" w:rsidRPr="00AF2E98" w14:paraId="482E0560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A5953E2" w14:textId="77777777" w:rsidR="002B7EF2" w:rsidRPr="00AF2E98" w:rsidRDefault="001066CD" w:rsidP="00DD319C">
            <w:pPr>
              <w:pStyle w:val="TH-TableHeading"/>
              <w:jc w:val="left"/>
            </w:pPr>
            <w:r w:rsidRPr="001066CD">
              <w:lastRenderedPageBreak/>
              <w:t>Research Governance Approvals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0FF3D31B" w14:textId="77777777" w:rsidR="001066CD" w:rsidRPr="001066CD" w:rsidRDefault="001066CD" w:rsidP="001066CD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RGO Acknowledgement/</w:t>
            </w:r>
            <w:r w:rsidRPr="001066CD">
              <w:rPr>
                <w:snapToGrid w:val="0"/>
              </w:rPr>
              <w:t xml:space="preserve">Approval documentation is filed in chronological order in the appropriate section of the ISF. </w:t>
            </w:r>
          </w:p>
          <w:p w14:paraId="17F669A9" w14:textId="77777777" w:rsidR="002B7EF2" w:rsidRPr="00AF2E98" w:rsidRDefault="001066CD" w:rsidP="001066CD">
            <w:pPr>
              <w:pStyle w:val="TX-TableText"/>
              <w:ind w:left="0"/>
              <w:rPr>
                <w:snapToGrid w:val="0"/>
              </w:rPr>
            </w:pPr>
            <w:r w:rsidRPr="001066CD">
              <w:rPr>
                <w:snapToGrid w:val="0"/>
              </w:rPr>
              <w:t xml:space="preserve">This can include but is not limited to the initial </w:t>
            </w:r>
            <w:r>
              <w:rPr>
                <w:snapToGrid w:val="0"/>
              </w:rPr>
              <w:t xml:space="preserve">Site Specific Application, protocol amendments and acknowledgement of </w:t>
            </w:r>
            <w:r w:rsidRPr="001066CD">
              <w:rPr>
                <w:snapToGrid w:val="0"/>
              </w:rPr>
              <w:t xml:space="preserve"> Annual and safety reports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63402A5F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FA65E45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1C7B5C27" w14:textId="77777777" w:rsidR="002B7EF2" w:rsidRPr="006B41C3" w:rsidRDefault="002B7EF2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38B0AE6" w14:textId="77777777" w:rsidR="002B7EF2" w:rsidRPr="006B41C3" w:rsidRDefault="002B7EF2" w:rsidP="00C90146">
            <w:pPr>
              <w:pStyle w:val="TX-TableText"/>
              <w:ind w:left="0"/>
            </w:pPr>
          </w:p>
        </w:tc>
      </w:tr>
      <w:tr w:rsidR="001066CD" w:rsidRPr="00AF2E98" w14:paraId="48827E6C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8911C54" w14:textId="77777777" w:rsidR="001066CD" w:rsidRDefault="001066CD" w:rsidP="00DD319C">
            <w:pPr>
              <w:pStyle w:val="TH-TableHeading"/>
              <w:jc w:val="left"/>
            </w:pPr>
            <w:r>
              <w:t xml:space="preserve">Clinical Trial Research Agreement (CTRA) </w:t>
            </w:r>
          </w:p>
          <w:p w14:paraId="61F87DEF" w14:textId="77777777" w:rsidR="001066CD" w:rsidRPr="001066CD" w:rsidRDefault="001066CD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1504153D" w14:textId="77777777" w:rsidR="001066CD" w:rsidRDefault="001066CD" w:rsidP="001066CD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Fully Executed CTRA for the site has been filed in the appropriate section of the ISF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58AF8FB6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62292F0D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60FF022D" w14:textId="77777777" w:rsidR="001066CD" w:rsidRPr="006B41C3" w:rsidRDefault="001066CD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32036D3D" w14:textId="77777777" w:rsidR="001066CD" w:rsidRPr="006B41C3" w:rsidRDefault="001066CD" w:rsidP="00C90146">
            <w:pPr>
              <w:pStyle w:val="TX-TableText"/>
              <w:ind w:left="0"/>
            </w:pPr>
          </w:p>
        </w:tc>
      </w:tr>
      <w:tr w:rsidR="00B515D1" w:rsidRPr="00AF2E98" w14:paraId="728A459E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5783C37" w14:textId="656235BB" w:rsidR="00B515D1" w:rsidRDefault="00B515D1" w:rsidP="00DD319C">
            <w:pPr>
              <w:pStyle w:val="TH-TableHeading"/>
              <w:jc w:val="left"/>
            </w:pPr>
            <w:r>
              <w:t xml:space="preserve">Indemnity (if required) 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30AAD13D" w14:textId="03B43A8D" w:rsidR="00B515D1" w:rsidRDefault="00B515D1" w:rsidP="001066CD">
            <w:pPr>
              <w:pStyle w:val="TX-TableText"/>
              <w:ind w:left="0"/>
              <w:rPr>
                <w:snapToGrid w:val="0"/>
              </w:rPr>
            </w:pPr>
            <w:r w:rsidRPr="00790220">
              <w:rPr>
                <w:snapToGrid w:val="0"/>
              </w:rPr>
              <w:t xml:space="preserve">Fully Executed </w:t>
            </w:r>
            <w:r>
              <w:rPr>
                <w:snapToGrid w:val="0"/>
              </w:rPr>
              <w:t xml:space="preserve">Indemnity </w:t>
            </w:r>
            <w:r w:rsidRPr="00790220">
              <w:rPr>
                <w:snapToGrid w:val="0"/>
              </w:rPr>
              <w:t xml:space="preserve"> for the site has been filed in the appropriate section of the ISF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2429E109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5AAE1DF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37A80C6B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4F127A2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709C79EC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138D717" w14:textId="3ACCC0B9" w:rsidR="00B515D1" w:rsidRDefault="00B515D1" w:rsidP="00DD319C">
            <w:pPr>
              <w:pStyle w:val="TH-TableHeading"/>
              <w:jc w:val="left"/>
            </w:pPr>
            <w:r>
              <w:t>Insurance (if required)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0CA06FBD" w14:textId="13742149" w:rsidR="00B515D1" w:rsidRDefault="00B515D1" w:rsidP="00877CB9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Current Insurance certificate </w:t>
            </w:r>
            <w:r w:rsidRPr="00790220">
              <w:rPr>
                <w:snapToGrid w:val="0"/>
              </w:rPr>
              <w:t>has been filed in the appropriate section of the ISF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01EB6C19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3F9EA4AB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442006B2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1BADAB97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72533F50" w14:textId="77777777" w:rsidTr="008A3780">
        <w:trPr>
          <w:cantSplit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5CB50B8" w14:textId="77777777" w:rsidR="00B515D1" w:rsidRPr="00AF2E98" w:rsidRDefault="00B515D1" w:rsidP="00DD319C">
            <w:pPr>
              <w:pStyle w:val="TH-TableHeading"/>
              <w:jc w:val="left"/>
            </w:pPr>
            <w:r w:rsidRPr="00AF2E98">
              <w:t>Protocol</w:t>
            </w:r>
          </w:p>
          <w:p w14:paraId="3DFE4A2C" w14:textId="692D9C1F" w:rsidR="00B515D1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5F704224" w14:textId="59A53B66" w:rsidR="00B515D1" w:rsidRDefault="00B515D1" w:rsidP="001066CD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 xml:space="preserve">A current and </w:t>
            </w:r>
            <w:r>
              <w:rPr>
                <w:snapToGrid w:val="0"/>
              </w:rPr>
              <w:t xml:space="preserve">HREC approved copy of the Protocol is filed in the correct section of the Investigator Site File (ISF)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70A635D8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336C8659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656AC6F1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C5EF7BF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0ADE2A33" w14:textId="77777777" w:rsidTr="008A3780">
        <w:trPr>
          <w:cantSplit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7EB0D399" w14:textId="77777777" w:rsidR="00B515D1" w:rsidRPr="00AF2E98" w:rsidRDefault="00B515D1" w:rsidP="00DD319C">
            <w:pPr>
              <w:pStyle w:val="TH-TableHeading"/>
              <w:jc w:val="left"/>
            </w:pPr>
            <w:r w:rsidRPr="00AF2E98">
              <w:t>Protocol</w:t>
            </w:r>
          </w:p>
          <w:p w14:paraId="77636E48" w14:textId="77777777" w:rsidR="00B515D1" w:rsidRPr="00AF2E98" w:rsidRDefault="00B515D1" w:rsidP="00DD319C">
            <w:pPr>
              <w:pStyle w:val="TH-TableHeading"/>
              <w:jc w:val="left"/>
            </w:pPr>
            <w:r>
              <w:t xml:space="preserve">Participant Information Consent Form (PICF) </w:t>
            </w:r>
          </w:p>
          <w:p w14:paraId="60B29861" w14:textId="77777777" w:rsidR="00B515D1" w:rsidRPr="00AF2E98" w:rsidRDefault="00B515D1" w:rsidP="002B7EF2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3E8CAE8F" w14:textId="0930482A" w:rsidR="00B515D1" w:rsidRPr="00AF2E98" w:rsidRDefault="00B515D1" w:rsidP="006119B0">
            <w:pPr>
              <w:pStyle w:val="TX-TableText"/>
              <w:ind w:left="0"/>
              <w:rPr>
                <w:snapToGrid w:val="0"/>
              </w:rPr>
            </w:pPr>
            <w:r w:rsidRPr="003D683C">
              <w:rPr>
                <w:snapToGrid w:val="0"/>
                <w:spacing w:val="-2"/>
              </w:rPr>
              <w:t>All previous</w:t>
            </w:r>
            <w:r>
              <w:rPr>
                <w:snapToGrid w:val="0"/>
                <w:spacing w:val="-2"/>
              </w:rPr>
              <w:t>/superseded</w:t>
            </w:r>
            <w:r w:rsidRPr="003D683C">
              <w:rPr>
                <w:snapToGrid w:val="0"/>
                <w:spacing w:val="-2"/>
              </w:rPr>
              <w:t xml:space="preserve"> versions of the Protocol are </w:t>
            </w:r>
            <w:r>
              <w:rPr>
                <w:snapToGrid w:val="0"/>
                <w:spacing w:val="-2"/>
              </w:rPr>
              <w:t xml:space="preserve">filed in the appropriate section of the ISF  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36117E50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58279F26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031157B7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4B5EB1F7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1AE0D3B0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0805AC5D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14:paraId="56E22B52" w14:textId="77777777" w:rsidR="00B515D1" w:rsidRPr="003D683C" w:rsidRDefault="00B515D1" w:rsidP="00DD319C">
            <w:pPr>
              <w:pStyle w:val="TX-TableText"/>
              <w:ind w:left="0"/>
              <w:rPr>
                <w:snapToGrid w:val="0"/>
                <w:spacing w:val="-2"/>
              </w:rPr>
            </w:pPr>
            <w:r w:rsidRPr="00AF2E98">
              <w:rPr>
                <w:snapToGrid w:val="0"/>
              </w:rPr>
              <w:t xml:space="preserve">Signed versions of the protocol signature page are available for each version of the </w:t>
            </w:r>
            <w:r>
              <w:rPr>
                <w:snapToGrid w:val="0"/>
              </w:rPr>
              <w:t>P</w:t>
            </w:r>
            <w:r w:rsidRPr="00AF2E98">
              <w:rPr>
                <w:snapToGrid w:val="0"/>
              </w:rPr>
              <w:t>rotocol</w:t>
            </w:r>
            <w:r>
              <w:rPr>
                <w:snapToGrid w:val="0"/>
              </w:rPr>
              <w:t xml:space="preserve"> and filed in the appropriate section of the ISF </w:t>
            </w:r>
          </w:p>
          <w:p w14:paraId="5CB22A59" w14:textId="3DA4D3F0" w:rsidR="00B515D1" w:rsidRPr="00AF2E98" w:rsidRDefault="00B515D1" w:rsidP="002B7EF2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3A0F8BDF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0175C74D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1E6B8DEC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1F304C03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47B074F7" w14:textId="77777777" w:rsidTr="008A3780">
        <w:trPr>
          <w:cantSplit/>
          <w:trHeight w:val="1583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3E25D8CC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4FB2E6BA" w14:textId="33022F96" w:rsidR="00B515D1" w:rsidRPr="003D683C" w:rsidRDefault="00B515D1" w:rsidP="002B7EF2">
            <w:pPr>
              <w:pStyle w:val="TX-TableText"/>
              <w:ind w:left="0"/>
              <w:rPr>
                <w:snapToGrid w:val="0"/>
                <w:spacing w:val="-2"/>
              </w:rPr>
            </w:pPr>
            <w:r w:rsidRPr="00AF2E98">
              <w:rPr>
                <w:snapToGrid w:val="0"/>
              </w:rPr>
              <w:t xml:space="preserve">A current and </w:t>
            </w:r>
            <w:r>
              <w:rPr>
                <w:snapToGrid w:val="0"/>
              </w:rPr>
              <w:t>HREC approved copy of the PICF is filed in the correct section of the ISF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14:paraId="1D4A49F6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4604146B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2590339A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28184F8C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7F4DE178" w14:textId="77777777" w:rsidTr="008A3780">
        <w:trPr>
          <w:cantSplit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57841008" w14:textId="77777777" w:rsidR="00B515D1" w:rsidRPr="00AF2E98" w:rsidRDefault="00B515D1" w:rsidP="00DD319C">
            <w:pPr>
              <w:pStyle w:val="TH-TableHeading"/>
              <w:jc w:val="left"/>
            </w:pPr>
            <w:r>
              <w:lastRenderedPageBreak/>
              <w:t xml:space="preserve">Participant Information Consent Form (PICF) </w:t>
            </w:r>
          </w:p>
          <w:p w14:paraId="0067D6C1" w14:textId="49F6A8BD" w:rsidR="00B515D1" w:rsidRPr="00AF2E98" w:rsidRDefault="00B515D1" w:rsidP="00DD319C">
            <w:pPr>
              <w:pStyle w:val="TH-TableHeading"/>
              <w:jc w:val="left"/>
            </w:pPr>
            <w:r>
              <w:t xml:space="preserve">Investigator Brochure (IB) </w:t>
            </w:r>
          </w:p>
        </w:tc>
        <w:tc>
          <w:tcPr>
            <w:tcW w:w="2138" w:type="pct"/>
            <w:vAlign w:val="center"/>
          </w:tcPr>
          <w:p w14:paraId="2AA66768" w14:textId="6C86BF71" w:rsidR="00B515D1" w:rsidRPr="00AF2E98" w:rsidRDefault="00B515D1" w:rsidP="005F4E55">
            <w:pPr>
              <w:pStyle w:val="TX-TableText"/>
              <w:ind w:left="0"/>
              <w:rPr>
                <w:snapToGrid w:val="0"/>
              </w:rPr>
            </w:pPr>
            <w:r w:rsidRPr="003D683C">
              <w:rPr>
                <w:snapToGrid w:val="0"/>
                <w:spacing w:val="-2"/>
              </w:rPr>
              <w:t>All previous</w:t>
            </w:r>
            <w:r>
              <w:rPr>
                <w:snapToGrid w:val="0"/>
                <w:spacing w:val="-2"/>
              </w:rPr>
              <w:t>/superseded</w:t>
            </w:r>
            <w:r w:rsidRPr="003D683C">
              <w:rPr>
                <w:snapToGrid w:val="0"/>
                <w:spacing w:val="-2"/>
              </w:rPr>
              <w:t xml:space="preserve"> versions of the </w:t>
            </w:r>
            <w:r>
              <w:rPr>
                <w:snapToGrid w:val="0"/>
                <w:spacing w:val="-2"/>
              </w:rPr>
              <w:t>PICF</w:t>
            </w:r>
            <w:r w:rsidRPr="003D683C">
              <w:rPr>
                <w:snapToGrid w:val="0"/>
                <w:spacing w:val="-2"/>
              </w:rPr>
              <w:t xml:space="preserve"> are </w:t>
            </w:r>
            <w:r>
              <w:rPr>
                <w:snapToGrid w:val="0"/>
                <w:spacing w:val="-2"/>
              </w:rPr>
              <w:t xml:space="preserve">filed in the appropriate section of the ISF   </w:t>
            </w:r>
          </w:p>
        </w:tc>
        <w:tc>
          <w:tcPr>
            <w:tcW w:w="215" w:type="pct"/>
            <w:vAlign w:val="center"/>
          </w:tcPr>
          <w:p w14:paraId="4CD9CA96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5A3DC17F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0E34F949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214C1853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4A60909D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69CFB712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60AF1EC1" w14:textId="152BBCCC" w:rsidR="00B515D1" w:rsidRPr="00AF2E98" w:rsidRDefault="00B515D1" w:rsidP="002B7EF2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All signed PICFs are appropriately located in the ISF or participant file </w:t>
            </w:r>
          </w:p>
        </w:tc>
        <w:tc>
          <w:tcPr>
            <w:tcW w:w="215" w:type="pct"/>
            <w:vAlign w:val="center"/>
          </w:tcPr>
          <w:p w14:paraId="393BBD90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43E402EC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1D50E7C3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43D7D704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33FD3A0E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7598C0E8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002D7760" w14:textId="19D069DD" w:rsidR="00B515D1" w:rsidRPr="00AF2E98" w:rsidRDefault="00B515D1" w:rsidP="00DD319C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All approved and superseded  IB’s are</w:t>
            </w:r>
            <w:r w:rsidRPr="00790220">
              <w:rPr>
                <w:snapToGrid w:val="0"/>
              </w:rPr>
              <w:t xml:space="preserve"> appropriately located in the ISF or participant file</w:t>
            </w:r>
          </w:p>
        </w:tc>
        <w:tc>
          <w:tcPr>
            <w:tcW w:w="215" w:type="pct"/>
            <w:vAlign w:val="center"/>
          </w:tcPr>
          <w:p w14:paraId="6B495159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76C2BB5E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279AECED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7D800999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46D1E496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4518792E" w14:textId="77777777" w:rsidR="00B515D1" w:rsidRPr="00AF2E98" w:rsidRDefault="00B515D1" w:rsidP="00DD319C">
            <w:pPr>
              <w:pStyle w:val="TH-TableHeading"/>
              <w:jc w:val="left"/>
            </w:pPr>
            <w:r w:rsidRPr="00DC2375">
              <w:t>FDA 1572 Forms &amp; Supplements (as applicable) and Financial Disclosure Documents</w:t>
            </w:r>
            <w:r>
              <w:t xml:space="preserve"> and Confidentiality agreements or equivalent </w:t>
            </w:r>
          </w:p>
          <w:p w14:paraId="14A8EE26" w14:textId="6B7A122F" w:rsidR="00B515D1" w:rsidRPr="00AF2E98" w:rsidRDefault="00B515D1" w:rsidP="009158E1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2FC4F116" w14:textId="762B0F9E" w:rsidR="00B515D1" w:rsidRPr="00AF2E98" w:rsidRDefault="00B515D1" w:rsidP="00DD319C">
            <w:pPr>
              <w:pStyle w:val="TX-TableText"/>
              <w:ind w:left="0"/>
              <w:rPr>
                <w:snapToGrid w:val="0"/>
              </w:rPr>
            </w:pPr>
            <w:r w:rsidRPr="00790220">
              <w:rPr>
                <w:snapToGrid w:val="0"/>
              </w:rPr>
              <w:t>Financial disclosure forms for all key personnel are present</w:t>
            </w:r>
            <w:r>
              <w:rPr>
                <w:snapToGrid w:val="0"/>
              </w:rPr>
              <w:t>, signed and dated</w:t>
            </w:r>
            <w:r w:rsidRPr="00790220">
              <w:rPr>
                <w:snapToGrid w:val="0"/>
              </w:rPr>
              <w:t xml:space="preserve"> (if applicable).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3161A532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0A0B3E97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6C6CEF02" w14:textId="77777777" w:rsidR="00B515D1" w:rsidRPr="006B41C3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2A1A1CDC" w14:textId="77777777" w:rsidR="00B515D1" w:rsidRPr="006B41C3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4A7B8AE6" w14:textId="77777777" w:rsidTr="008A3780">
        <w:trPr>
          <w:cantSplit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65AFBB5E" w14:textId="77777777" w:rsidR="008C087F" w:rsidRPr="008C087F" w:rsidRDefault="008C087F" w:rsidP="008C087F">
            <w:pPr>
              <w:pStyle w:val="TH-TableHeading"/>
              <w:jc w:val="left"/>
            </w:pPr>
            <w:r w:rsidRPr="008C087F">
              <w:t xml:space="preserve">Trial related </w:t>
            </w:r>
          </w:p>
          <w:p w14:paraId="6D0321F2" w14:textId="77777777" w:rsidR="00B515D1" w:rsidRDefault="00B515D1" w:rsidP="00D85E9D">
            <w:pPr>
              <w:pStyle w:val="TH-TableHeading"/>
              <w:jc w:val="left"/>
            </w:pPr>
            <w:r>
              <w:t>Correspondence</w:t>
            </w:r>
          </w:p>
          <w:p w14:paraId="601FC6B7" w14:textId="0BAD4E21" w:rsidR="00B515D1" w:rsidRPr="00AF2E98" w:rsidRDefault="00B515D1" w:rsidP="008C087F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1B21C12A" w14:textId="4AA1B198" w:rsidR="00B515D1" w:rsidRDefault="00B515D1" w:rsidP="00DD319C">
            <w:pPr>
              <w:pStyle w:val="TX-TableText"/>
              <w:ind w:left="0"/>
              <w:rPr>
                <w:snapToGrid w:val="0"/>
              </w:rPr>
            </w:pPr>
            <w:r w:rsidRPr="009158E1">
              <w:rPr>
                <w:snapToGrid w:val="0"/>
              </w:rPr>
              <w:t xml:space="preserve">Documentation of </w:t>
            </w:r>
            <w:r>
              <w:rPr>
                <w:snapToGrid w:val="0"/>
              </w:rPr>
              <w:t xml:space="preserve">Trial specific Sponsor and </w:t>
            </w:r>
            <w:r w:rsidRPr="009158E1">
              <w:rPr>
                <w:snapToGrid w:val="0"/>
              </w:rPr>
              <w:t>internal correspondence is present and</w:t>
            </w:r>
            <w:r w:rsidR="00A8729F">
              <w:rPr>
                <w:snapToGrid w:val="0"/>
              </w:rPr>
              <w:t xml:space="preserve"> current. </w:t>
            </w:r>
          </w:p>
          <w:p w14:paraId="3E17445B" w14:textId="78FC1776" w:rsidR="00B515D1" w:rsidRPr="00AF2E98" w:rsidRDefault="00B515D1" w:rsidP="00DD319C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This can include emails, and documentation of phone conversations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1DA623CA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09B7AFDD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66E25C97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15070C9C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56C5F660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0AF1F4BC" w14:textId="19F88487" w:rsidR="00B515D1" w:rsidRPr="00AF2E98" w:rsidRDefault="00B515D1" w:rsidP="00B515D1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502739EE" w14:textId="18BDAAAA" w:rsidR="00B515D1" w:rsidRPr="00AF2E98" w:rsidRDefault="00B515D1" w:rsidP="00790220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Sponsor Newsletters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0BE6516E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1DCEA701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1BE99420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6AE46364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39BC8ACC" w14:textId="77777777" w:rsidTr="008A3780">
        <w:trPr>
          <w:cantSplit/>
          <w:trHeight w:val="300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0389B53E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54FAC25F" w14:textId="4DAA282D" w:rsidR="00B515D1" w:rsidRPr="00AF2E98" w:rsidRDefault="00B515D1" w:rsidP="00A8729F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Monitoring </w:t>
            </w:r>
            <w:r w:rsidR="00A8729F">
              <w:rPr>
                <w:snapToGrid w:val="0"/>
              </w:rPr>
              <w:t xml:space="preserve">Visit Logs (signed and dated) 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32FF8EDA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111820F5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65B50FB9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6E29194D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A8729F" w:rsidRPr="00AF2E98" w14:paraId="4693D549" w14:textId="77777777" w:rsidTr="008A3780">
        <w:trPr>
          <w:cantSplit/>
          <w:trHeight w:val="360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40CD28E2" w14:textId="77777777" w:rsidR="00A8729F" w:rsidRPr="00AF2E98" w:rsidRDefault="00A8729F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19A62BCA" w14:textId="0BD76880" w:rsidR="00A8729F" w:rsidRDefault="00A8729F" w:rsidP="00A8729F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Follow up Letters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16EA9504" w14:textId="77777777" w:rsidR="00A8729F" w:rsidRPr="00AF2E98" w:rsidRDefault="00A8729F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40636982" w14:textId="77777777" w:rsidR="00A8729F" w:rsidRPr="00AF2E98" w:rsidRDefault="00A8729F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40D37CC3" w14:textId="77777777" w:rsidR="00A8729F" w:rsidRPr="00AF2E98" w:rsidRDefault="00A8729F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0C662B32" w14:textId="77777777" w:rsidR="00A8729F" w:rsidRPr="00AF2E98" w:rsidRDefault="00A8729F" w:rsidP="00C90146">
            <w:pPr>
              <w:pStyle w:val="TX-TableText"/>
              <w:ind w:left="0"/>
            </w:pPr>
          </w:p>
        </w:tc>
      </w:tr>
      <w:tr w:rsidR="00B515D1" w:rsidRPr="00AF2E98" w14:paraId="5175242B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11257646" w14:textId="77777777" w:rsidR="00B515D1" w:rsidRPr="00AF2E98" w:rsidRDefault="00B515D1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65371DD0" w14:textId="7B2C6DFB" w:rsidR="00B515D1" w:rsidRPr="00AF2E98" w:rsidRDefault="00B515D1" w:rsidP="00DD319C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Internal Meetings/agenda and minutes  (Trial Specific) </w:t>
            </w:r>
          </w:p>
        </w:tc>
        <w:tc>
          <w:tcPr>
            <w:tcW w:w="215" w:type="pct"/>
            <w:vAlign w:val="center"/>
          </w:tcPr>
          <w:p w14:paraId="0E7FB238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53E4D945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0D701E7C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214E3C89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09E8F2E5" w14:textId="77777777" w:rsidTr="008A3780">
        <w:trPr>
          <w:cantSplit/>
          <w:trHeight w:val="787"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15F95BA4" w14:textId="6E00E9EF" w:rsidR="00B515D1" w:rsidRPr="00AF2E98" w:rsidRDefault="00B515D1" w:rsidP="00DD319C">
            <w:pPr>
              <w:pStyle w:val="TH-TableHeading"/>
              <w:jc w:val="left"/>
            </w:pPr>
            <w:r w:rsidRPr="00B515D1">
              <w:lastRenderedPageBreak/>
              <w:t>Delegation Log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1B388B8E" w14:textId="77777777" w:rsidR="00B515D1" w:rsidRDefault="00B515D1" w:rsidP="00DD319C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>The Delegation of Responsibilities Log is present and current for all individuals accredited to</w:t>
            </w:r>
            <w:r>
              <w:rPr>
                <w:snapToGrid w:val="0"/>
              </w:rPr>
              <w:t xml:space="preserve"> perform specific study tasks </w:t>
            </w:r>
          </w:p>
          <w:p w14:paraId="1A3D6A23" w14:textId="558E4F5F" w:rsidR="00B515D1" w:rsidRPr="00AF2E98" w:rsidRDefault="008C087F" w:rsidP="00DD319C">
            <w:pPr>
              <w:pStyle w:val="TX-TableText"/>
              <w:ind w:left="0"/>
              <w:rPr>
                <w:snapToGrid w:val="0"/>
              </w:rPr>
            </w:pPr>
            <w:r w:rsidRPr="008C087F">
              <w:rPr>
                <w:b/>
                <w:snapToGrid w:val="0"/>
              </w:rPr>
              <w:t>Please Note:</w:t>
            </w:r>
            <w:r>
              <w:rPr>
                <w:snapToGrid w:val="0"/>
              </w:rPr>
              <w:t xml:space="preserve"> </w:t>
            </w:r>
            <w:r w:rsidR="00B515D1">
              <w:rPr>
                <w:snapToGrid w:val="0"/>
              </w:rPr>
              <w:t xml:space="preserve">The </w:t>
            </w:r>
            <w:r w:rsidR="00B515D1" w:rsidRPr="00B515D1">
              <w:rPr>
                <w:snapToGrid w:val="0"/>
              </w:rPr>
              <w:t>PI must date delegation prior to individuals undertaking trial-related activity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411D8619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24AE4E91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4E08D037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4328A905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B515D1" w:rsidRPr="00AF2E98" w14:paraId="4405DC43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48BAF902" w14:textId="7FDFDEAA" w:rsidR="00B515D1" w:rsidRPr="00AF2E98" w:rsidRDefault="00B515D1" w:rsidP="00DD319C">
            <w:pPr>
              <w:pStyle w:val="TH-TableHeading"/>
              <w:jc w:val="left"/>
            </w:pPr>
            <w:r>
              <w:t xml:space="preserve">Training Log  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407FFE23" w14:textId="77777777" w:rsidR="00B515D1" w:rsidRDefault="00B515D1" w:rsidP="00D85E9D">
            <w:pPr>
              <w:pStyle w:val="TX-TableText"/>
              <w:ind w:left="0"/>
              <w:rPr>
                <w:snapToGrid w:val="0"/>
              </w:rPr>
            </w:pPr>
            <w:r w:rsidRPr="00D85E9D">
              <w:rPr>
                <w:snapToGrid w:val="0"/>
              </w:rPr>
              <w:t>Documentation of study-specific training for all relevant personnel is present and complete.</w:t>
            </w:r>
            <w:r w:rsidR="00B138C6">
              <w:rPr>
                <w:snapToGrid w:val="0"/>
              </w:rPr>
              <w:t xml:space="preserve"> </w:t>
            </w:r>
          </w:p>
          <w:p w14:paraId="47EF95F2" w14:textId="615D066C" w:rsidR="00B138C6" w:rsidRPr="00B138C6" w:rsidRDefault="00B138C6" w:rsidP="00D85E9D">
            <w:pPr>
              <w:pStyle w:val="TX-TableText"/>
              <w:ind w:left="0"/>
              <w:rPr>
                <w:b/>
                <w:snapToGrid w:val="0"/>
              </w:rPr>
            </w:pPr>
            <w:r w:rsidRPr="00B138C6">
              <w:rPr>
                <w:b/>
                <w:snapToGrid w:val="0"/>
              </w:rPr>
              <w:t xml:space="preserve">This includes any subsequent protocol amendment training 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4D58450C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4E5DB8EC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7C8C0E39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240A8E67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8A3780" w:rsidRPr="00AF2E98" w14:paraId="5EE221AC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1CB9E4F8" w14:textId="2432B6CD" w:rsidR="008A3780" w:rsidRDefault="008A3780" w:rsidP="00DD319C">
            <w:pPr>
              <w:pStyle w:val="TH-TableHeading"/>
              <w:jc w:val="left"/>
            </w:pPr>
            <w:r>
              <w:t xml:space="preserve">Screening and Enrolment Log 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2291CC65" w14:textId="34FB6B09" w:rsidR="008A3780" w:rsidRPr="00D85E9D" w:rsidRDefault="008A3780" w:rsidP="00D85E9D">
            <w:pPr>
              <w:pStyle w:val="TX-TableText"/>
              <w:ind w:left="0"/>
              <w:rPr>
                <w:snapToGrid w:val="0"/>
              </w:rPr>
            </w:pPr>
            <w:r w:rsidRPr="008A3780">
              <w:rPr>
                <w:snapToGrid w:val="0"/>
              </w:rPr>
              <w:t>The Site Screening and Enrollment Log is present and up-to-date.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4E5B1169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16B7D75E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25CDEC0B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67E532FE" w14:textId="77777777" w:rsidR="008A3780" w:rsidRPr="00AF2E98" w:rsidRDefault="008A3780" w:rsidP="00C90146">
            <w:pPr>
              <w:pStyle w:val="TX-TableText"/>
              <w:ind w:left="0"/>
            </w:pPr>
          </w:p>
        </w:tc>
      </w:tr>
      <w:tr w:rsidR="00B138C6" w:rsidRPr="00AF2E98" w14:paraId="36DDD6E6" w14:textId="77777777" w:rsidTr="008A3780">
        <w:trPr>
          <w:cantSplit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79D011D7" w14:textId="77777777" w:rsidR="00B138C6" w:rsidRPr="00AF2E98" w:rsidRDefault="00B138C6" w:rsidP="00DD319C">
            <w:pPr>
              <w:pStyle w:val="TH-TableHeading"/>
              <w:jc w:val="left"/>
            </w:pPr>
            <w:r>
              <w:t xml:space="preserve">Additional Training Documentation </w:t>
            </w:r>
          </w:p>
          <w:p w14:paraId="2FDFBDD3" w14:textId="09455C16" w:rsidR="00B138C6" w:rsidRPr="00AF2E98" w:rsidRDefault="00B138C6" w:rsidP="00B138C6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35820612" w14:textId="34C252AA" w:rsidR="00B138C6" w:rsidRPr="006620DD" w:rsidRDefault="00B138C6" w:rsidP="00B138C6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Curriculum Vitae (CV) for all trial staff is filed either in the trial ISF or located centrally. All staff require their CV to be updated every 2 years and include location  of practice e.g. Liverpool Hospital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582F9FC7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36117AD2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57A1A8D9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6FD76F83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B138C6" w:rsidRPr="00AF2E98" w14:paraId="7DBD57AB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7789F504" w14:textId="4A9CFE7F" w:rsidR="00B138C6" w:rsidRPr="00AF2E98" w:rsidRDefault="00B138C6" w:rsidP="00B138C6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1DEA1342" w14:textId="77777777" w:rsidR="00B138C6" w:rsidRDefault="00B138C6" w:rsidP="00232026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All clinical trial staff are required to have a GCP certificate. F</w:t>
            </w:r>
            <w:r w:rsidRPr="00D85E9D">
              <w:rPr>
                <w:snapToGrid w:val="0"/>
              </w:rPr>
              <w:t xml:space="preserve">iled either in the trial ISF or located centrally. </w:t>
            </w:r>
          </w:p>
          <w:p w14:paraId="028994E4" w14:textId="37F19A1A" w:rsidR="00B138C6" w:rsidRPr="00AF2E98" w:rsidRDefault="00B138C6" w:rsidP="00232026">
            <w:pPr>
              <w:pStyle w:val="TX-TableText"/>
              <w:ind w:left="0"/>
              <w:rPr>
                <w:snapToGrid w:val="0"/>
              </w:rPr>
            </w:pPr>
            <w:r w:rsidRPr="00D85E9D">
              <w:rPr>
                <w:snapToGrid w:val="0"/>
              </w:rPr>
              <w:t xml:space="preserve">All staff require their </w:t>
            </w:r>
            <w:r>
              <w:rPr>
                <w:snapToGrid w:val="0"/>
              </w:rPr>
              <w:t>GCP</w:t>
            </w:r>
            <w:r w:rsidRPr="00D85E9D">
              <w:rPr>
                <w:snapToGrid w:val="0"/>
              </w:rPr>
              <w:t xml:space="preserve"> to be updated every </w:t>
            </w:r>
            <w:r>
              <w:rPr>
                <w:snapToGrid w:val="0"/>
              </w:rPr>
              <w:t>3</w:t>
            </w:r>
            <w:r w:rsidRPr="00D85E9D">
              <w:rPr>
                <w:snapToGrid w:val="0"/>
              </w:rPr>
              <w:t xml:space="preserve"> years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73219ACF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6B3CE8F1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1AC14C21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04925B18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B138C6" w:rsidRPr="00AF2E98" w14:paraId="35229A07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63D944EA" w14:textId="77777777" w:rsidR="00B138C6" w:rsidRPr="00AF2E98" w:rsidRDefault="00B138C6" w:rsidP="00DD319C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2135A059" w14:textId="633E2423" w:rsidR="00B138C6" w:rsidRPr="00AF2E98" w:rsidRDefault="00B138C6" w:rsidP="00D85E9D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 xml:space="preserve">Documentation of </w:t>
            </w:r>
            <w:r>
              <w:rPr>
                <w:snapToGrid w:val="0"/>
              </w:rPr>
              <w:t>IATA</w:t>
            </w:r>
            <w:r w:rsidRPr="00AF2E98">
              <w:rPr>
                <w:snapToGrid w:val="0"/>
              </w:rPr>
              <w:t xml:space="preserve"> training is present for individuals shipping specimens</w:t>
            </w:r>
            <w:bookmarkStart w:id="0" w:name="_GoBack"/>
            <w:bookmarkEnd w:id="0"/>
            <w:r w:rsidRPr="00AF2E98">
              <w:rPr>
                <w:snapToGrid w:val="0"/>
              </w:rPr>
              <w:t>.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215539EB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5D9BC011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3B2421E5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7435203C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B138C6" w:rsidRPr="00AF2E98" w14:paraId="5073D6F0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0B7BDEAE" w14:textId="77777777" w:rsidR="00B138C6" w:rsidRPr="00AF2E98" w:rsidRDefault="00B138C6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2A1A6E69" w14:textId="4915C645" w:rsidR="00B138C6" w:rsidRPr="00AF2E98" w:rsidRDefault="00845BEB" w:rsidP="00845BEB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Documentation of EDC training e.g. Rave, Inform </w:t>
            </w:r>
          </w:p>
        </w:tc>
        <w:tc>
          <w:tcPr>
            <w:tcW w:w="215" w:type="pct"/>
            <w:vAlign w:val="center"/>
          </w:tcPr>
          <w:p w14:paraId="530A8AA2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5675568C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6E860FB3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281533E0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8A3780" w:rsidRPr="00AF2E98" w14:paraId="155CC29C" w14:textId="77777777" w:rsidTr="008A3780">
        <w:trPr>
          <w:cantSplit/>
          <w:trHeight w:val="787"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189AC4DC" w14:textId="7E80B5D4" w:rsidR="008A3780" w:rsidRPr="00AF2E98" w:rsidRDefault="008A3780" w:rsidP="00B138C6">
            <w:pPr>
              <w:pStyle w:val="TH-TableHeading"/>
              <w:jc w:val="left"/>
            </w:pPr>
            <w:r>
              <w:t xml:space="preserve">Study specific Manuals/Training material  </w:t>
            </w:r>
          </w:p>
        </w:tc>
        <w:tc>
          <w:tcPr>
            <w:tcW w:w="2138" w:type="pct"/>
            <w:vAlign w:val="center"/>
          </w:tcPr>
          <w:p w14:paraId="047EE4DF" w14:textId="72E7F9AE" w:rsidR="008A3780" w:rsidRPr="00AF2E98" w:rsidRDefault="008A3780" w:rsidP="00DD319C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CRF completion manual/guide </w:t>
            </w:r>
          </w:p>
        </w:tc>
        <w:tc>
          <w:tcPr>
            <w:tcW w:w="215" w:type="pct"/>
            <w:vAlign w:val="center"/>
          </w:tcPr>
          <w:p w14:paraId="131EF44A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258E73FB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65042764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6B6824E8" w14:textId="77777777" w:rsidR="008A3780" w:rsidRPr="00AF2E98" w:rsidRDefault="008A3780" w:rsidP="00C90146">
            <w:pPr>
              <w:pStyle w:val="TX-TableText"/>
              <w:ind w:left="0"/>
            </w:pPr>
          </w:p>
        </w:tc>
      </w:tr>
      <w:tr w:rsidR="008A3780" w:rsidRPr="00AF2E98" w14:paraId="388FB630" w14:textId="77777777" w:rsidTr="008A3780">
        <w:trPr>
          <w:cantSplit/>
          <w:trHeight w:val="787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22A2848F" w14:textId="48628C29" w:rsidR="008A3780" w:rsidRDefault="008A3780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4FC42A08" w14:textId="4CC17881" w:rsidR="008A3780" w:rsidRPr="00AF2E98" w:rsidRDefault="008A3780" w:rsidP="00DC2375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Training Material provided by the Sponsor/CRO e.g. SIV presentation slides </w:t>
            </w:r>
          </w:p>
        </w:tc>
        <w:tc>
          <w:tcPr>
            <w:tcW w:w="215" w:type="pct"/>
            <w:vAlign w:val="center"/>
          </w:tcPr>
          <w:p w14:paraId="338D44B5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4D919863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658FF67D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5EF00229" w14:textId="77777777" w:rsidR="008A3780" w:rsidRPr="00AF2E98" w:rsidRDefault="008A3780" w:rsidP="00C90146">
            <w:pPr>
              <w:pStyle w:val="TX-TableText"/>
              <w:ind w:left="0"/>
            </w:pPr>
          </w:p>
        </w:tc>
      </w:tr>
      <w:tr w:rsidR="008A3780" w:rsidRPr="00AF2E98" w14:paraId="604838CF" w14:textId="77777777" w:rsidTr="008A3780">
        <w:trPr>
          <w:cantSplit/>
          <w:trHeight w:val="787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7C4D1A5D" w14:textId="77777777" w:rsidR="008A3780" w:rsidRDefault="008A3780" w:rsidP="00DD319C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34F95434" w14:textId="5E9EB3E3" w:rsidR="008A3780" w:rsidRDefault="008A3780" w:rsidP="00DC2375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Current Lab Manual </w:t>
            </w:r>
          </w:p>
        </w:tc>
        <w:tc>
          <w:tcPr>
            <w:tcW w:w="215" w:type="pct"/>
            <w:vAlign w:val="center"/>
          </w:tcPr>
          <w:p w14:paraId="5C201074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55240982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628D921F" w14:textId="77777777" w:rsidR="008A3780" w:rsidRPr="00AF2E98" w:rsidRDefault="008A3780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6C2B9D8E" w14:textId="77777777" w:rsidR="008A3780" w:rsidRPr="00AF2E98" w:rsidRDefault="008A3780" w:rsidP="00C90146">
            <w:pPr>
              <w:pStyle w:val="TX-TableText"/>
              <w:ind w:left="0"/>
            </w:pPr>
          </w:p>
        </w:tc>
      </w:tr>
      <w:tr w:rsidR="00B515D1" w:rsidRPr="00AF2E98" w14:paraId="774C9C9B" w14:textId="77777777" w:rsidTr="008A3780">
        <w:trPr>
          <w:cantSplit/>
          <w:trHeight w:val="787"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4DB85083" w14:textId="39B7548D" w:rsidR="00B515D1" w:rsidRDefault="00845BEB" w:rsidP="00DD319C">
            <w:pPr>
              <w:pStyle w:val="TH-TableHeading"/>
              <w:jc w:val="left"/>
            </w:pPr>
            <w:r>
              <w:t xml:space="preserve">Calibration of equipment </w:t>
            </w:r>
          </w:p>
        </w:tc>
        <w:tc>
          <w:tcPr>
            <w:tcW w:w="2138" w:type="pct"/>
            <w:vAlign w:val="center"/>
          </w:tcPr>
          <w:p w14:paraId="32F5A056" w14:textId="3A76563E" w:rsidR="008A3780" w:rsidRDefault="00B515D1" w:rsidP="00845BEB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Calibration Documentation (if appropriate) </w:t>
            </w:r>
            <w:r w:rsidR="00845BEB">
              <w:rPr>
                <w:snapToGrid w:val="0"/>
              </w:rPr>
              <w:t xml:space="preserve">is available via the Biomedical Department. </w:t>
            </w:r>
            <w:r>
              <w:rPr>
                <w:snapToGrid w:val="0"/>
              </w:rPr>
              <w:t xml:space="preserve"> </w:t>
            </w:r>
            <w:r w:rsidR="008A3780">
              <w:rPr>
                <w:snapToGrid w:val="0"/>
              </w:rPr>
              <w:t xml:space="preserve">The </w:t>
            </w:r>
            <w:r w:rsidR="00845BEB">
              <w:rPr>
                <w:snapToGrid w:val="0"/>
              </w:rPr>
              <w:t>SWSLHD</w:t>
            </w:r>
            <w:r w:rsidR="008A3780" w:rsidRPr="008A3780">
              <w:rPr>
                <w:snapToGrid w:val="0"/>
              </w:rPr>
              <w:t xml:space="preserve"> </w:t>
            </w:r>
            <w:r w:rsidR="008A3780">
              <w:rPr>
                <w:snapToGrid w:val="0"/>
              </w:rPr>
              <w:t xml:space="preserve">Biomedical Department maintains all hospital based equipment </w:t>
            </w:r>
            <w:r w:rsidR="00845BEB">
              <w:rPr>
                <w:snapToGrid w:val="0"/>
              </w:rPr>
              <w:t xml:space="preserve">using </w:t>
            </w:r>
            <w:r w:rsidR="00845BEB" w:rsidRPr="008A3780">
              <w:rPr>
                <w:snapToGrid w:val="0"/>
              </w:rPr>
              <w:t>AFM</w:t>
            </w:r>
            <w:r w:rsidR="008A3780" w:rsidRPr="008A3780">
              <w:rPr>
                <w:snapToGrid w:val="0"/>
              </w:rPr>
              <w:t xml:space="preserve"> Online</w:t>
            </w:r>
            <w:r w:rsidR="00845BEB">
              <w:rPr>
                <w:snapToGrid w:val="0"/>
              </w:rPr>
              <w:t xml:space="preserve">; </w:t>
            </w:r>
            <w:hyperlink r:id="rId11" w:history="1">
              <w:r w:rsidR="008A3780" w:rsidRPr="008A3780">
                <w:rPr>
                  <w:rStyle w:val="Hyperlink"/>
                  <w:snapToGrid w:val="0"/>
                </w:rPr>
                <w:t>https://www.ehealth.nsw.gov.au/programs/corporate/afm</w:t>
              </w:r>
            </w:hyperlink>
          </w:p>
        </w:tc>
        <w:tc>
          <w:tcPr>
            <w:tcW w:w="215" w:type="pct"/>
            <w:vAlign w:val="center"/>
          </w:tcPr>
          <w:p w14:paraId="1414C88E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7C5EA3BC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55BC4D52" w14:textId="77777777" w:rsidR="00B515D1" w:rsidRPr="00AF2E98" w:rsidRDefault="00B515D1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33EF1D87" w14:textId="77777777" w:rsidR="00B515D1" w:rsidRPr="00AF2E98" w:rsidRDefault="00B515D1" w:rsidP="00C90146">
            <w:pPr>
              <w:pStyle w:val="TX-TableText"/>
              <w:ind w:left="0"/>
            </w:pPr>
          </w:p>
        </w:tc>
      </w:tr>
      <w:tr w:rsidR="00B138C6" w:rsidRPr="00AF2E98" w14:paraId="374DA63C" w14:textId="77777777" w:rsidTr="008A3780">
        <w:trPr>
          <w:cantSplit/>
          <w:trHeight w:val="787"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2903134F" w14:textId="77777777" w:rsidR="00B138C6" w:rsidRDefault="00B138C6" w:rsidP="00DD319C">
            <w:pPr>
              <w:pStyle w:val="TH-TableHeading"/>
              <w:jc w:val="left"/>
            </w:pPr>
            <w:r>
              <w:t xml:space="preserve">Pharmacy File oversight and management </w:t>
            </w:r>
          </w:p>
          <w:p w14:paraId="7608894D" w14:textId="77777777" w:rsidR="00B138C6" w:rsidRPr="00AF2E98" w:rsidRDefault="00B138C6" w:rsidP="00C90146">
            <w:pPr>
              <w:pStyle w:val="TH-TableHeading"/>
              <w:jc w:val="left"/>
            </w:pPr>
          </w:p>
          <w:p w14:paraId="40883360" w14:textId="77777777" w:rsidR="00B138C6" w:rsidRPr="00AF2E98" w:rsidRDefault="00B138C6" w:rsidP="00C90146">
            <w:pPr>
              <w:pStyle w:val="TH-TableHeading"/>
              <w:jc w:val="left"/>
            </w:pPr>
          </w:p>
          <w:p w14:paraId="5120DAF9" w14:textId="672A8DFA" w:rsidR="00B138C6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747D5540" w14:textId="4427D300" w:rsidR="00B138C6" w:rsidRDefault="00B138C6" w:rsidP="00B138C6">
            <w:pPr>
              <w:pStyle w:val="TX-TableText"/>
              <w:ind w:left="0"/>
              <w:rPr>
                <w:snapToGrid w:val="0"/>
              </w:rPr>
            </w:pPr>
            <w:r w:rsidRPr="006620DD">
              <w:rPr>
                <w:snapToGrid w:val="0"/>
              </w:rPr>
              <w:t xml:space="preserve">Investigational Product Accountability Records are present, accurate, and current. 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073C6D71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343F3ED3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7959F605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0B402810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B138C6" w:rsidRPr="00AF2E98" w14:paraId="311ED367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38EF1D05" w14:textId="268704F4" w:rsidR="00B138C6" w:rsidRPr="00AF2E98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48391EC2" w14:textId="0C23F044" w:rsidR="00B138C6" w:rsidRPr="00AF2E98" w:rsidRDefault="00B138C6" w:rsidP="00B138C6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 xml:space="preserve">Shipping </w:t>
            </w:r>
            <w:r>
              <w:rPr>
                <w:snapToGrid w:val="0"/>
              </w:rPr>
              <w:t>r</w:t>
            </w:r>
            <w:r w:rsidRPr="00AF2E98">
              <w:rPr>
                <w:snapToGrid w:val="0"/>
              </w:rPr>
              <w:t>ecords for Investigational Product documenting the receipt date, quantity, and lot numbers</w:t>
            </w:r>
            <w:r>
              <w:rPr>
                <w:snapToGrid w:val="0"/>
              </w:rPr>
              <w:t xml:space="preserve"> </w:t>
            </w:r>
            <w:r w:rsidRPr="00AF2E98">
              <w:rPr>
                <w:snapToGrid w:val="0"/>
              </w:rPr>
              <w:t>are present and current.</w:t>
            </w:r>
          </w:p>
        </w:tc>
        <w:tc>
          <w:tcPr>
            <w:tcW w:w="215" w:type="pct"/>
            <w:vAlign w:val="center"/>
          </w:tcPr>
          <w:p w14:paraId="525DDF6D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02" w:type="pct"/>
            <w:vAlign w:val="center"/>
          </w:tcPr>
          <w:p w14:paraId="76514876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233" w:type="pct"/>
            <w:vAlign w:val="center"/>
          </w:tcPr>
          <w:p w14:paraId="2755DE57" w14:textId="77777777" w:rsidR="00B138C6" w:rsidRPr="00AF2E98" w:rsidRDefault="00B138C6" w:rsidP="00C90146">
            <w:pPr>
              <w:pStyle w:val="TX-TableText"/>
              <w:ind w:left="0"/>
              <w:jc w:val="center"/>
            </w:pPr>
          </w:p>
        </w:tc>
        <w:tc>
          <w:tcPr>
            <w:tcW w:w="1183" w:type="pct"/>
          </w:tcPr>
          <w:p w14:paraId="243F72AB" w14:textId="77777777" w:rsidR="00B138C6" w:rsidRPr="00AF2E98" w:rsidRDefault="00B138C6" w:rsidP="00C90146">
            <w:pPr>
              <w:pStyle w:val="TX-TableText"/>
              <w:ind w:left="0"/>
            </w:pPr>
          </w:p>
        </w:tc>
      </w:tr>
      <w:tr w:rsidR="00B138C6" w:rsidRPr="00AF2E98" w14:paraId="29C84DBD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6522BD2F" w14:textId="73DB28FF" w:rsidR="00B138C6" w:rsidRPr="00AF2E98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00C0A299" w14:textId="2E64E7F2" w:rsidR="00B138C6" w:rsidRPr="00AF2E98" w:rsidRDefault="00B138C6" w:rsidP="008A07E5">
            <w:pPr>
              <w:pStyle w:val="TX-TableText"/>
              <w:ind w:left="0"/>
              <w:rPr>
                <w:snapToGrid w:val="0"/>
              </w:rPr>
            </w:pPr>
            <w:r w:rsidRPr="003D683C">
              <w:rPr>
                <w:snapToGrid w:val="0"/>
                <w:spacing w:val="-4"/>
              </w:rPr>
              <w:t>Randomization list and decoding procedures for Blinded Investigational Product are present.</w:t>
            </w:r>
          </w:p>
        </w:tc>
        <w:tc>
          <w:tcPr>
            <w:tcW w:w="215" w:type="pct"/>
            <w:vAlign w:val="center"/>
          </w:tcPr>
          <w:p w14:paraId="792A77FC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6D49E56C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46F354BF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00070E9D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138C6" w:rsidRPr="00AF2E98" w14:paraId="7426C7F7" w14:textId="77777777" w:rsidTr="008A3780">
        <w:trPr>
          <w:cantSplit/>
          <w:trHeight w:val="852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045B280D" w14:textId="77777777" w:rsidR="00B138C6" w:rsidRPr="00AF2E98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381C3A6A" w14:textId="1F169263" w:rsidR="00B138C6" w:rsidRPr="00AF2E98" w:rsidRDefault="00B138C6" w:rsidP="00C90146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>Investigational Product Temperature Logs are present, or their location is specified and easily accessible.</w:t>
            </w:r>
          </w:p>
        </w:tc>
        <w:tc>
          <w:tcPr>
            <w:tcW w:w="215" w:type="pct"/>
            <w:vAlign w:val="center"/>
          </w:tcPr>
          <w:p w14:paraId="2DF9B71F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5FF2E618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04720BA7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2635AC7C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138C6" w:rsidRPr="00AF2E98" w14:paraId="26CD4B69" w14:textId="77777777" w:rsidTr="008A3780">
        <w:trPr>
          <w:cantSplit/>
          <w:trHeight w:val="456"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3BB706C8" w14:textId="77777777" w:rsidR="00B138C6" w:rsidRPr="00AF2E98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778C07D6" w14:textId="688FA036" w:rsidR="00B138C6" w:rsidRPr="00AF2E98" w:rsidRDefault="00B138C6" w:rsidP="008A3780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Refer to the </w:t>
            </w:r>
            <w:r w:rsidRPr="008A3780">
              <w:rPr>
                <w:snapToGrid w:val="0"/>
                <w:color w:val="365F91" w:themeColor="accent1" w:themeShade="BF"/>
              </w:rPr>
              <w:t>SOP_</w:t>
            </w:r>
            <w:r w:rsidR="008A3780" w:rsidRPr="008A3780">
              <w:rPr>
                <w:snapToGrid w:val="0"/>
                <w:color w:val="365F91" w:themeColor="accent1" w:themeShade="BF"/>
              </w:rPr>
              <w:t>CTSU_15</w:t>
            </w:r>
            <w:r w:rsidRPr="008A3780">
              <w:rPr>
                <w:snapToGrid w:val="0"/>
                <w:color w:val="365F91" w:themeColor="accent1" w:themeShade="BF"/>
              </w:rPr>
              <w:t xml:space="preserve">  </w:t>
            </w:r>
            <w:r w:rsidR="008A3780" w:rsidRPr="008A3780">
              <w:rPr>
                <w:snapToGrid w:val="0"/>
                <w:color w:val="365F91" w:themeColor="accent1" w:themeShade="BF"/>
              </w:rPr>
              <w:t xml:space="preserve">Managing the Investigational Product </w:t>
            </w:r>
            <w:r w:rsidR="008A3780">
              <w:rPr>
                <w:snapToGrid w:val="0"/>
              </w:rPr>
              <w:t xml:space="preserve">for further information and guidance </w:t>
            </w:r>
          </w:p>
        </w:tc>
        <w:tc>
          <w:tcPr>
            <w:tcW w:w="215" w:type="pct"/>
            <w:vAlign w:val="center"/>
          </w:tcPr>
          <w:p w14:paraId="52158D22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1FD43CE0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2C3029F4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4EC6418B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138C6" w:rsidRPr="00AF2E98" w14:paraId="0D94B8F0" w14:textId="77777777" w:rsidTr="008A3780">
        <w:trPr>
          <w:cantSplit/>
        </w:trPr>
        <w:tc>
          <w:tcPr>
            <w:tcW w:w="1029" w:type="pct"/>
            <w:vMerge w:val="restart"/>
            <w:shd w:val="clear" w:color="auto" w:fill="B8CCE4" w:themeFill="accent1" w:themeFillTint="66"/>
            <w:vAlign w:val="center"/>
          </w:tcPr>
          <w:p w14:paraId="79EDD081" w14:textId="77777777" w:rsidR="00B138C6" w:rsidRDefault="00B138C6" w:rsidP="008A07E5">
            <w:pPr>
              <w:pStyle w:val="TH-TableHeading"/>
              <w:jc w:val="left"/>
            </w:pPr>
            <w:r>
              <w:t>Pathology Lab Documentation</w:t>
            </w:r>
          </w:p>
          <w:p w14:paraId="0ED25468" w14:textId="3364E1D8" w:rsidR="00B138C6" w:rsidRPr="00AF2E98" w:rsidRDefault="00B138C6" w:rsidP="008A07E5">
            <w:pPr>
              <w:pStyle w:val="TH-TableHeading"/>
              <w:jc w:val="left"/>
            </w:pPr>
            <w:r w:rsidRPr="00AF2E98">
              <w:lastRenderedPageBreak/>
              <w:t>Specimen Tracking Logs</w:t>
            </w:r>
          </w:p>
        </w:tc>
        <w:tc>
          <w:tcPr>
            <w:tcW w:w="2138" w:type="pct"/>
            <w:vAlign w:val="center"/>
          </w:tcPr>
          <w:p w14:paraId="35FCCF0E" w14:textId="7DBC1EF6" w:rsidR="00B138C6" w:rsidRPr="00AF2E98" w:rsidRDefault="00B138C6" w:rsidP="00C90146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lastRenderedPageBreak/>
              <w:t>Laboratory certifications and accreditations are present</w:t>
            </w:r>
            <w:r>
              <w:rPr>
                <w:snapToGrid w:val="0"/>
              </w:rPr>
              <w:t xml:space="preserve"> and current </w:t>
            </w:r>
          </w:p>
        </w:tc>
        <w:tc>
          <w:tcPr>
            <w:tcW w:w="215" w:type="pct"/>
            <w:vAlign w:val="center"/>
          </w:tcPr>
          <w:p w14:paraId="3EA02B8C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21B35D12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790652C1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02A1A071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138C6" w:rsidRPr="00AF2E98" w14:paraId="0FC3E1E2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1D879746" w14:textId="5058CE43" w:rsidR="00B138C6" w:rsidRDefault="00B138C6" w:rsidP="008A07E5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79CB5882" w14:textId="77777777" w:rsidR="008A3780" w:rsidRDefault="00B138C6" w:rsidP="008A07E5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Current Reference ranges are filled. </w:t>
            </w:r>
          </w:p>
          <w:p w14:paraId="75C318DD" w14:textId="090F6040" w:rsidR="00B138C6" w:rsidRPr="00AF2E98" w:rsidRDefault="00B138C6" w:rsidP="008A07E5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>These are required to be updated on a yearly basis</w:t>
            </w:r>
          </w:p>
        </w:tc>
        <w:tc>
          <w:tcPr>
            <w:tcW w:w="215" w:type="pct"/>
            <w:vAlign w:val="center"/>
          </w:tcPr>
          <w:p w14:paraId="589DDE94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3B70BD31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6F16CA14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585353D4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138C6" w:rsidRPr="00AF2E98" w14:paraId="5344F806" w14:textId="77777777" w:rsidTr="008A3780">
        <w:trPr>
          <w:cantSplit/>
        </w:trPr>
        <w:tc>
          <w:tcPr>
            <w:tcW w:w="1029" w:type="pct"/>
            <w:vMerge/>
            <w:shd w:val="clear" w:color="auto" w:fill="B8CCE4" w:themeFill="accent1" w:themeFillTint="66"/>
            <w:vAlign w:val="center"/>
          </w:tcPr>
          <w:p w14:paraId="6CF5B38A" w14:textId="77777777" w:rsidR="00B138C6" w:rsidRPr="00AF2E98" w:rsidRDefault="00B138C6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74CA5AF4" w14:textId="72082CFF" w:rsidR="00B138C6" w:rsidRPr="00AF2E98" w:rsidRDefault="00B138C6" w:rsidP="00C90146">
            <w:pPr>
              <w:pStyle w:val="TX-TableText"/>
              <w:ind w:left="0"/>
              <w:rPr>
                <w:snapToGrid w:val="0"/>
              </w:rPr>
            </w:pPr>
            <w:r w:rsidRPr="00AF2E98">
              <w:rPr>
                <w:snapToGrid w:val="0"/>
              </w:rPr>
              <w:t xml:space="preserve">Specimen Tracking Logs </w:t>
            </w:r>
            <w:r>
              <w:rPr>
                <w:snapToGrid w:val="0"/>
              </w:rPr>
              <w:t xml:space="preserve">or Retention Records are filed in the ISF, </w:t>
            </w:r>
            <w:r w:rsidRPr="00AF2E98">
              <w:rPr>
                <w:snapToGrid w:val="0"/>
              </w:rPr>
              <w:t xml:space="preserve">or </w:t>
            </w:r>
            <w:r>
              <w:rPr>
                <w:snapToGrid w:val="0"/>
              </w:rPr>
              <w:t xml:space="preserve">in the participant file for reference </w:t>
            </w:r>
          </w:p>
        </w:tc>
        <w:tc>
          <w:tcPr>
            <w:tcW w:w="215" w:type="pct"/>
            <w:vAlign w:val="center"/>
          </w:tcPr>
          <w:p w14:paraId="121049AA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15E6BE86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5027E442" w14:textId="77777777" w:rsidR="00B138C6" w:rsidRPr="00AF2E98" w:rsidRDefault="00B138C6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256CA00E" w14:textId="77777777" w:rsidR="00B138C6" w:rsidRPr="00AF2E98" w:rsidRDefault="00B138C6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515D1" w:rsidRPr="00AF2E98" w14:paraId="2B68D6C0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0EAC1BEC" w14:textId="77777777" w:rsidR="00B515D1" w:rsidRPr="00AF2E98" w:rsidRDefault="00B515D1" w:rsidP="00C90146">
            <w:pPr>
              <w:pStyle w:val="TH-TableHeading"/>
              <w:jc w:val="left"/>
            </w:pPr>
            <w:r w:rsidRPr="00AF2E98">
              <w:t>Serious Adverse Events (</w:t>
            </w:r>
            <w:smartTag w:uri="urn:schemas-microsoft-com:office:smarttags" w:element="stockticker">
              <w:r w:rsidRPr="00AF2E98">
                <w:t>SAE</w:t>
              </w:r>
            </w:smartTag>
            <w:r w:rsidRPr="00AF2E98">
              <w:t xml:space="preserve">) and </w:t>
            </w:r>
            <w:r>
              <w:t xml:space="preserve">all </w:t>
            </w:r>
            <w:r w:rsidRPr="00AF2E98">
              <w:t>other Safety Reports</w:t>
            </w:r>
          </w:p>
          <w:p w14:paraId="17EBEE33" w14:textId="791751DA" w:rsidR="00B515D1" w:rsidRPr="00AF2E98" w:rsidRDefault="00B515D1" w:rsidP="00C90146">
            <w:pPr>
              <w:pStyle w:val="TH-TableHeading"/>
              <w:jc w:val="left"/>
            </w:pPr>
          </w:p>
        </w:tc>
        <w:tc>
          <w:tcPr>
            <w:tcW w:w="2138" w:type="pct"/>
            <w:vAlign w:val="center"/>
          </w:tcPr>
          <w:p w14:paraId="511DE335" w14:textId="5A043390" w:rsidR="00B515D1" w:rsidRPr="00AF2E98" w:rsidRDefault="00B515D1" w:rsidP="00C90146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Ensure that all participant safety events are recorded and reported as per the trial protocol and the NHMRC Safety requirements. Further guidance is provided in </w:t>
            </w:r>
            <w:r w:rsidRPr="00845BEB">
              <w:rPr>
                <w:snapToGrid w:val="0"/>
                <w:color w:val="365F91" w:themeColor="accent1" w:themeShade="BF"/>
              </w:rPr>
              <w:t xml:space="preserve">SOP_CTSU_19 Safety management and assessment </w:t>
            </w:r>
          </w:p>
        </w:tc>
        <w:tc>
          <w:tcPr>
            <w:tcW w:w="215" w:type="pct"/>
            <w:vAlign w:val="center"/>
          </w:tcPr>
          <w:p w14:paraId="02A24971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26E817B8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30E2B302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03FA10F2" w14:textId="77777777" w:rsidR="00B515D1" w:rsidRPr="00AF2E98" w:rsidRDefault="00B515D1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515D1" w:rsidRPr="00AF2E98" w14:paraId="242114AF" w14:textId="77777777" w:rsidTr="008A3780">
        <w:trPr>
          <w:cantSplit/>
        </w:trPr>
        <w:tc>
          <w:tcPr>
            <w:tcW w:w="102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E3AF30D" w14:textId="77777777" w:rsidR="00B515D1" w:rsidRPr="00AF2E98" w:rsidRDefault="00B515D1" w:rsidP="00C90146">
            <w:pPr>
              <w:pStyle w:val="TH-TableHeading"/>
              <w:jc w:val="left"/>
            </w:pPr>
            <w:r w:rsidRPr="00AF2E98">
              <w:t>Serious Adverse Events (</w:t>
            </w:r>
            <w:smartTag w:uri="urn:schemas-microsoft-com:office:smarttags" w:element="stockticker">
              <w:r w:rsidRPr="00AF2E98">
                <w:t>SAE</w:t>
              </w:r>
            </w:smartTag>
            <w:r w:rsidRPr="00AF2E98">
              <w:t xml:space="preserve">) and </w:t>
            </w:r>
            <w:r>
              <w:t xml:space="preserve">all </w:t>
            </w:r>
            <w:r w:rsidRPr="00AF2E98">
              <w:t>other Safety Reports</w:t>
            </w:r>
          </w:p>
          <w:p w14:paraId="668B2E75" w14:textId="77777777" w:rsidR="00B515D1" w:rsidRPr="00AF2E98" w:rsidRDefault="00B515D1" w:rsidP="00C90146">
            <w:pPr>
              <w:pStyle w:val="TH-TableHeading"/>
              <w:jc w:val="left"/>
            </w:pPr>
            <w:r>
              <w:t xml:space="preserve">Non-compliance documentation  </w:t>
            </w:r>
          </w:p>
          <w:p w14:paraId="4C4CB9FA" w14:textId="77777777" w:rsidR="00B515D1" w:rsidRPr="00AF2E98" w:rsidRDefault="00B515D1" w:rsidP="00C90146">
            <w:pPr>
              <w:pStyle w:val="TH-TableHeading"/>
              <w:jc w:val="left"/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14:paraId="36877A45" w14:textId="13AC776E" w:rsidR="00B515D1" w:rsidRPr="00AF2E98" w:rsidRDefault="00B515D1" w:rsidP="008A07E5">
            <w:pPr>
              <w:pStyle w:val="TX-TableText"/>
              <w:ind w:left="0"/>
              <w:rPr>
                <w:snapToGrid w:val="0"/>
              </w:rPr>
            </w:pPr>
            <w:r w:rsidRPr="001B5C68">
              <w:rPr>
                <w:snapToGrid w:val="0"/>
              </w:rPr>
              <w:t xml:space="preserve">All Protocol non-compliance  events are recorded and reported as per </w:t>
            </w:r>
            <w:r w:rsidRPr="00845BEB">
              <w:rPr>
                <w:snapToGrid w:val="0"/>
                <w:color w:val="365F91" w:themeColor="accent1" w:themeShade="BF"/>
              </w:rPr>
              <w:t>SOP_CTSU_20 Non-Compliance</w:t>
            </w:r>
          </w:p>
        </w:tc>
        <w:tc>
          <w:tcPr>
            <w:tcW w:w="215" w:type="pct"/>
            <w:vAlign w:val="center"/>
          </w:tcPr>
          <w:p w14:paraId="066A89BA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4032642F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683A4114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1DDF8C96" w14:textId="77777777" w:rsidR="00B515D1" w:rsidRPr="00AF2E98" w:rsidRDefault="00B515D1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515D1" w:rsidRPr="00AF2E98" w14:paraId="6000EDA8" w14:textId="77777777" w:rsidTr="008A3780">
        <w:trPr>
          <w:cantSplit/>
          <w:trHeight w:val="1268"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09A4FA71" w14:textId="5A6E69FC" w:rsidR="00B515D1" w:rsidRPr="00AF2E98" w:rsidRDefault="00B515D1" w:rsidP="007E29C2">
            <w:pPr>
              <w:pStyle w:val="TH-TableHeading"/>
              <w:jc w:val="left"/>
            </w:pPr>
            <w:r>
              <w:t xml:space="preserve">Finance and Budget Documentation </w:t>
            </w:r>
          </w:p>
        </w:tc>
        <w:tc>
          <w:tcPr>
            <w:tcW w:w="2138" w:type="pct"/>
            <w:vAlign w:val="center"/>
          </w:tcPr>
          <w:p w14:paraId="5F045377" w14:textId="77777777" w:rsidR="00B515D1" w:rsidRDefault="00B515D1" w:rsidP="007E29C2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All invoice requests and reconciliation documentation </w:t>
            </w:r>
          </w:p>
          <w:p w14:paraId="19288803" w14:textId="4402EE92" w:rsidR="00B515D1" w:rsidRPr="00AF2E98" w:rsidRDefault="00B515D1" w:rsidP="007E29C2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All Budget documentation relating to the Trial </w:t>
            </w:r>
          </w:p>
        </w:tc>
        <w:tc>
          <w:tcPr>
            <w:tcW w:w="215" w:type="pct"/>
            <w:vAlign w:val="center"/>
          </w:tcPr>
          <w:p w14:paraId="42F68F17" w14:textId="77777777" w:rsidR="00B515D1" w:rsidRPr="00AF2E98" w:rsidRDefault="00B515D1" w:rsidP="00C90146">
            <w:pPr>
              <w:pStyle w:val="TX-TableText"/>
              <w:keepNext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07DC4172" w14:textId="77777777" w:rsidR="00B515D1" w:rsidRPr="00AF2E98" w:rsidRDefault="00B515D1" w:rsidP="00C90146">
            <w:pPr>
              <w:pStyle w:val="TX-TableText"/>
              <w:keepNext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27C76EF5" w14:textId="77777777" w:rsidR="00B515D1" w:rsidRPr="00AF2E98" w:rsidRDefault="00B515D1" w:rsidP="00C90146">
            <w:pPr>
              <w:pStyle w:val="TX-TableText"/>
              <w:keepNext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28F87DDA" w14:textId="77777777" w:rsidR="00B515D1" w:rsidRPr="00AF2E98" w:rsidRDefault="00B515D1" w:rsidP="00C90146">
            <w:pPr>
              <w:pStyle w:val="TX-TableText"/>
              <w:keepNext/>
              <w:ind w:left="0"/>
              <w:rPr>
                <w:sz w:val="21"/>
              </w:rPr>
            </w:pPr>
          </w:p>
        </w:tc>
      </w:tr>
      <w:tr w:rsidR="00B515D1" w:rsidRPr="00AF2E98" w14:paraId="7C61337F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1EAA4197" w14:textId="2883E613" w:rsidR="00B515D1" w:rsidRPr="00AF2E98" w:rsidRDefault="00845BEB" w:rsidP="00C90146">
            <w:pPr>
              <w:pStyle w:val="TH-TableHeading"/>
              <w:jc w:val="left"/>
            </w:pPr>
            <w:r>
              <w:t xml:space="preserve">Essential Documentation Storage  </w:t>
            </w:r>
          </w:p>
        </w:tc>
        <w:tc>
          <w:tcPr>
            <w:tcW w:w="2138" w:type="pct"/>
            <w:vAlign w:val="center"/>
          </w:tcPr>
          <w:p w14:paraId="7D1658C2" w14:textId="17B67F7F" w:rsidR="00B515D1" w:rsidRPr="00AF2E98" w:rsidRDefault="00845BEB" w:rsidP="007E29C2">
            <w:pPr>
              <w:pStyle w:val="TX-TableText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All Essential documents are stored in accordance with ICH GCP (E6R2) Please refer to FM_12_Essential Document Storage Log for essential documentation/filing of this process. </w:t>
            </w:r>
          </w:p>
        </w:tc>
        <w:tc>
          <w:tcPr>
            <w:tcW w:w="215" w:type="pct"/>
            <w:vAlign w:val="center"/>
          </w:tcPr>
          <w:p w14:paraId="5D580E33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1625A0F5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3C9C9618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5E36EE4F" w14:textId="77777777" w:rsidR="00B515D1" w:rsidRPr="00AF2E98" w:rsidRDefault="00B515D1" w:rsidP="00C90146">
            <w:pPr>
              <w:pStyle w:val="TX-TableText"/>
              <w:ind w:left="0"/>
              <w:rPr>
                <w:sz w:val="21"/>
              </w:rPr>
            </w:pPr>
          </w:p>
        </w:tc>
      </w:tr>
      <w:tr w:rsidR="00B515D1" w:rsidRPr="00AF2E98" w14:paraId="69CB0B54" w14:textId="77777777" w:rsidTr="008A3780">
        <w:trPr>
          <w:cantSplit/>
        </w:trPr>
        <w:tc>
          <w:tcPr>
            <w:tcW w:w="1029" w:type="pct"/>
            <w:shd w:val="clear" w:color="auto" w:fill="B8CCE4" w:themeFill="accent1" w:themeFillTint="66"/>
            <w:vAlign w:val="center"/>
          </w:tcPr>
          <w:p w14:paraId="3801976F" w14:textId="4FA4F84B" w:rsidR="00B515D1" w:rsidRDefault="00845BEB" w:rsidP="00C90146">
            <w:pPr>
              <w:pStyle w:val="TH-TableHeading"/>
              <w:jc w:val="left"/>
            </w:pPr>
            <w:r>
              <w:t xml:space="preserve">Other </w:t>
            </w:r>
          </w:p>
        </w:tc>
        <w:tc>
          <w:tcPr>
            <w:tcW w:w="2138" w:type="pct"/>
            <w:vAlign w:val="center"/>
          </w:tcPr>
          <w:p w14:paraId="301B4063" w14:textId="77777777" w:rsidR="00B515D1" w:rsidRDefault="00B515D1" w:rsidP="007E29C2">
            <w:pPr>
              <w:pStyle w:val="TX-TableText"/>
              <w:ind w:left="0"/>
              <w:rPr>
                <w:snapToGrid w:val="0"/>
              </w:rPr>
            </w:pPr>
          </w:p>
        </w:tc>
        <w:tc>
          <w:tcPr>
            <w:tcW w:w="215" w:type="pct"/>
            <w:vAlign w:val="center"/>
          </w:tcPr>
          <w:p w14:paraId="2081DF3F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02" w:type="pct"/>
            <w:vAlign w:val="center"/>
          </w:tcPr>
          <w:p w14:paraId="315E4017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233" w:type="pct"/>
            <w:vAlign w:val="center"/>
          </w:tcPr>
          <w:p w14:paraId="07CD81C9" w14:textId="77777777" w:rsidR="00B515D1" w:rsidRPr="00AF2E98" w:rsidRDefault="00B515D1" w:rsidP="00C90146">
            <w:pPr>
              <w:pStyle w:val="TX-TableText"/>
              <w:ind w:left="0"/>
              <w:jc w:val="center"/>
              <w:rPr>
                <w:sz w:val="21"/>
              </w:rPr>
            </w:pPr>
          </w:p>
        </w:tc>
        <w:tc>
          <w:tcPr>
            <w:tcW w:w="1183" w:type="pct"/>
          </w:tcPr>
          <w:p w14:paraId="71F89DCF" w14:textId="77777777" w:rsidR="00B515D1" w:rsidRPr="00AF2E98" w:rsidRDefault="00B515D1" w:rsidP="00C90146">
            <w:pPr>
              <w:pStyle w:val="TX-TableText"/>
              <w:ind w:left="0"/>
              <w:rPr>
                <w:sz w:val="21"/>
              </w:rPr>
            </w:pPr>
          </w:p>
        </w:tc>
      </w:tr>
    </w:tbl>
    <w:p w14:paraId="2D7E7C8B" w14:textId="77777777" w:rsidR="001A58A5" w:rsidRDefault="001A58A5" w:rsidP="000B7E69"/>
    <w:p w14:paraId="687CB0F8" w14:textId="77777777" w:rsidR="00DD319C" w:rsidRDefault="00DD319C"/>
    <w:p w14:paraId="129DF715" w14:textId="77777777" w:rsidR="00AA3F8C" w:rsidRPr="00C90146" w:rsidRDefault="00AA3F8C" w:rsidP="00D73D58">
      <w:pPr>
        <w:spacing w:line="240" w:lineRule="auto"/>
        <w:rPr>
          <w:sz w:val="4"/>
        </w:rPr>
      </w:pPr>
    </w:p>
    <w:sectPr w:rsidR="00AA3F8C" w:rsidRPr="00C90146" w:rsidSect="006B41C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152" w:right="1440" w:bottom="1152" w:left="1440" w:header="720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3FF15" w16cid:durableId="229CB0F7"/>
  <w16cid:commentId w16cid:paraId="5EF27CD0" w16cid:durableId="229CBA38"/>
  <w16cid:commentId w16cid:paraId="1F6A2265" w16cid:durableId="229D8B92"/>
  <w16cid:commentId w16cid:paraId="3CEAA8F7" w16cid:durableId="229CB8CB"/>
  <w16cid:commentId w16cid:paraId="506607EC" w16cid:durableId="229CB7B9"/>
  <w16cid:commentId w16cid:paraId="5A7E5A8B" w16cid:durableId="229CB780"/>
  <w16cid:commentId w16cid:paraId="1B9F9613" w16cid:durableId="229CB17F"/>
  <w16cid:commentId w16cid:paraId="43B30021" w16cid:durableId="229CB9F4"/>
  <w16cid:commentId w16cid:paraId="19BD0F82" w16cid:durableId="229CB99A"/>
  <w16cid:commentId w16cid:paraId="4DA28B68" w16cid:durableId="229CBB03"/>
  <w16cid:commentId w16cid:paraId="3319ECD2" w16cid:durableId="229CBB33"/>
  <w16cid:commentId w16cid:paraId="3DEC4EB1" w16cid:durableId="229CBB82"/>
  <w16cid:commentId w16cid:paraId="3F50863D" w16cid:durableId="229CBBD8"/>
  <w16cid:commentId w16cid:paraId="54D29E41" w16cid:durableId="229CBA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9113" w14:textId="77777777" w:rsidR="003323C1" w:rsidRDefault="003323C1">
      <w:pPr>
        <w:spacing w:line="240" w:lineRule="auto"/>
      </w:pPr>
      <w:r>
        <w:separator/>
      </w:r>
    </w:p>
  </w:endnote>
  <w:endnote w:type="continuationSeparator" w:id="0">
    <w:p w14:paraId="278A691D" w14:textId="77777777" w:rsidR="003323C1" w:rsidRDefault="0033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6B97" w14:textId="77777777" w:rsidR="00AA3F8C" w:rsidRDefault="002152DF" w:rsidP="00AA3F8C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 xml:space="preserve">FM_037_Monitoring Checklist Essential Documents </w:t>
    </w:r>
    <w:r w:rsidRPr="003323C1">
      <w:t>v1.0</w:t>
    </w:r>
    <w:r>
      <w:t xml:space="preserve"> 1</w:t>
    </w:r>
    <w:r w:rsidRPr="002152DF">
      <w:rPr>
        <w:vertAlign w:val="superscript"/>
      </w:rPr>
      <w:t>st</w:t>
    </w:r>
    <w:r>
      <w:t xml:space="preserve"> July 2020</w:t>
    </w:r>
    <w:r w:rsidR="00AA3F8C">
      <w:br/>
    </w:r>
    <w:r w:rsidR="00AA3F8C" w:rsidRPr="00E76CE3">
      <w:tab/>
    </w:r>
    <w:r w:rsidR="00AA3F8C" w:rsidRPr="00E76CE3">
      <w:fldChar w:fldCharType="begin"/>
    </w:r>
    <w:r w:rsidR="00AA3F8C" w:rsidRPr="00E76CE3">
      <w:instrText xml:space="preserve"> PAGE </w:instrText>
    </w:r>
    <w:r w:rsidR="00AA3F8C" w:rsidRPr="00E76CE3">
      <w:fldChar w:fldCharType="separate"/>
    </w:r>
    <w:r w:rsidR="00845BEB">
      <w:rPr>
        <w:noProof/>
      </w:rPr>
      <w:t>6</w:t>
    </w:r>
    <w:r w:rsidR="00AA3F8C" w:rsidRPr="00E76CE3">
      <w:fldChar w:fldCharType="end"/>
    </w:r>
    <w:r w:rsidR="00AA3F8C" w:rsidRPr="00E76CE3">
      <w:t xml:space="preserve"> of </w:t>
    </w:r>
    <w:r w:rsidR="00805004">
      <w:rPr>
        <w:noProof/>
      </w:rPr>
      <w:fldChar w:fldCharType="begin"/>
    </w:r>
    <w:r w:rsidR="00805004">
      <w:rPr>
        <w:noProof/>
      </w:rPr>
      <w:instrText xml:space="preserve"> NUMPAGES  </w:instrText>
    </w:r>
    <w:r w:rsidR="00805004">
      <w:rPr>
        <w:noProof/>
      </w:rPr>
      <w:fldChar w:fldCharType="separate"/>
    </w:r>
    <w:r w:rsidR="00845BEB">
      <w:rPr>
        <w:noProof/>
      </w:rPr>
      <w:t>6</w:t>
    </w:r>
    <w:r w:rsidR="00805004">
      <w:rPr>
        <w:noProof/>
      </w:rPr>
      <w:fldChar w:fldCharType="end"/>
    </w:r>
    <w:r w:rsidR="00AA3F8C" w:rsidRPr="00E76CE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ED769" w14:textId="77777777" w:rsidR="006B41C3" w:rsidRDefault="002152DF" w:rsidP="006B41C3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 xml:space="preserve">FM_037_Monitoring Checklist Essential </w:t>
    </w:r>
    <w:r w:rsidR="007478C2">
      <w:t xml:space="preserve">Documents </w:t>
    </w:r>
    <w:r w:rsidR="007478C2" w:rsidRPr="003323C1">
      <w:t>v1.0</w:t>
    </w:r>
    <w:r>
      <w:t xml:space="preserve"> 1</w:t>
    </w:r>
    <w:r w:rsidRPr="002152DF">
      <w:rPr>
        <w:vertAlign w:val="superscript"/>
      </w:rPr>
      <w:t>st</w:t>
    </w:r>
    <w:r>
      <w:t xml:space="preserve"> July 2020</w:t>
    </w:r>
    <w:r w:rsidR="006B41C3">
      <w:br/>
    </w:r>
    <w:r w:rsidR="006B41C3" w:rsidRPr="00E76CE3">
      <w:tab/>
    </w:r>
    <w:r w:rsidR="006B41C3" w:rsidRPr="00E76CE3">
      <w:fldChar w:fldCharType="begin"/>
    </w:r>
    <w:r w:rsidR="006B41C3" w:rsidRPr="00E76CE3">
      <w:instrText xml:space="preserve"> PAGE </w:instrText>
    </w:r>
    <w:r w:rsidR="006B41C3" w:rsidRPr="00E76CE3">
      <w:fldChar w:fldCharType="separate"/>
    </w:r>
    <w:r w:rsidR="00845BEB">
      <w:rPr>
        <w:noProof/>
      </w:rPr>
      <w:t>1</w:t>
    </w:r>
    <w:r w:rsidR="006B41C3" w:rsidRPr="00E76CE3">
      <w:fldChar w:fldCharType="end"/>
    </w:r>
    <w:r w:rsidR="006B41C3" w:rsidRPr="00E76CE3">
      <w:t xml:space="preserve"> of </w:t>
    </w:r>
    <w:r w:rsidR="00805004">
      <w:rPr>
        <w:noProof/>
      </w:rPr>
      <w:fldChar w:fldCharType="begin"/>
    </w:r>
    <w:r w:rsidR="00805004">
      <w:rPr>
        <w:noProof/>
      </w:rPr>
      <w:instrText xml:space="preserve"> NUMPAGES  </w:instrText>
    </w:r>
    <w:r w:rsidR="00805004">
      <w:rPr>
        <w:noProof/>
      </w:rPr>
      <w:fldChar w:fldCharType="separate"/>
    </w:r>
    <w:r w:rsidR="00845BEB">
      <w:rPr>
        <w:noProof/>
      </w:rPr>
      <w:t>6</w:t>
    </w:r>
    <w:r w:rsidR="00805004">
      <w:rPr>
        <w:noProof/>
      </w:rPr>
      <w:fldChar w:fldCharType="end"/>
    </w:r>
    <w:r w:rsidR="006B41C3" w:rsidRPr="00E76CE3">
      <w:tab/>
    </w:r>
    <w:r w:rsidR="006B41C3">
      <w:t>24Apr2013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E5EF" w14:textId="77777777" w:rsidR="003323C1" w:rsidRDefault="003323C1">
      <w:pPr>
        <w:spacing w:line="240" w:lineRule="auto"/>
      </w:pPr>
      <w:r>
        <w:separator/>
      </w:r>
    </w:p>
  </w:footnote>
  <w:footnote w:type="continuationSeparator" w:id="0">
    <w:p w14:paraId="5430F351" w14:textId="77777777" w:rsidR="003323C1" w:rsidRDefault="00332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051"/>
      <w:gridCol w:w="6105"/>
      <w:gridCol w:w="1769"/>
      <w:gridCol w:w="3025"/>
    </w:tblGrid>
    <w:tr w:rsidR="00232026" w:rsidRPr="00433279" w14:paraId="422CFDC7" w14:textId="77777777" w:rsidTr="002152DF">
      <w:trPr>
        <w:cantSplit/>
        <w:trHeight w:val="720"/>
      </w:trPr>
      <w:tc>
        <w:tcPr>
          <w:tcW w:w="792" w:type="pct"/>
          <w:shd w:val="clear" w:color="auto" w:fill="B8CCE4" w:themeFill="accent1" w:themeFillTint="66"/>
          <w:vAlign w:val="center"/>
        </w:tcPr>
        <w:p w14:paraId="0E991F54" w14:textId="77777777" w:rsidR="00232026" w:rsidRPr="00433279" w:rsidRDefault="00232026" w:rsidP="004E760D">
          <w:pPr>
            <w:pStyle w:val="TH-TableHeading"/>
            <w:jc w:val="right"/>
          </w:pPr>
          <w:r w:rsidRPr="00433279">
            <w:t>Protocol Number/</w:t>
          </w:r>
        </w:p>
        <w:p w14:paraId="23539097" w14:textId="77777777" w:rsidR="00232026" w:rsidRPr="00433279" w:rsidRDefault="00232026" w:rsidP="004E760D">
          <w:pPr>
            <w:pStyle w:val="TH-TableHeading"/>
            <w:jc w:val="right"/>
          </w:pPr>
          <w:r w:rsidRPr="00433279">
            <w:t>Abbreviated</w:t>
          </w:r>
          <w:r>
            <w:t xml:space="preserve"> </w:t>
          </w:r>
          <w:r w:rsidRPr="00433279">
            <w:t>Title:</w:t>
          </w:r>
        </w:p>
      </w:tc>
      <w:tc>
        <w:tcPr>
          <w:tcW w:w="2357" w:type="pct"/>
          <w:shd w:val="clear" w:color="auto" w:fill="auto"/>
          <w:vAlign w:val="center"/>
        </w:tcPr>
        <w:p w14:paraId="57DEB7BD" w14:textId="77777777" w:rsidR="00232026" w:rsidRPr="00433279" w:rsidRDefault="00232026" w:rsidP="004E760D">
          <w:pPr>
            <w:pStyle w:val="TX-TableText"/>
            <w:ind w:left="0"/>
          </w:pPr>
        </w:p>
      </w:tc>
      <w:tc>
        <w:tcPr>
          <w:tcW w:w="683" w:type="pct"/>
          <w:shd w:val="clear" w:color="auto" w:fill="B8CCE4" w:themeFill="accent1" w:themeFillTint="66"/>
          <w:vAlign w:val="center"/>
        </w:tcPr>
        <w:p w14:paraId="163BA10F" w14:textId="77777777" w:rsidR="00232026" w:rsidRPr="00433279" w:rsidRDefault="00232026" w:rsidP="004E760D">
          <w:pPr>
            <w:pStyle w:val="TH-TableHeading"/>
            <w:jc w:val="right"/>
          </w:pPr>
          <w:r w:rsidRPr="00433279">
            <w:t>Date of Review:</w:t>
          </w:r>
        </w:p>
      </w:tc>
      <w:tc>
        <w:tcPr>
          <w:tcW w:w="1168" w:type="pct"/>
          <w:shd w:val="clear" w:color="auto" w:fill="auto"/>
          <w:vAlign w:val="center"/>
        </w:tcPr>
        <w:p w14:paraId="089E764C" w14:textId="77777777" w:rsidR="00232026" w:rsidRPr="00433279" w:rsidRDefault="00232026" w:rsidP="004E760D">
          <w:pPr>
            <w:pStyle w:val="TX-TableText"/>
            <w:ind w:left="0"/>
            <w:jc w:val="center"/>
          </w:pPr>
        </w:p>
      </w:tc>
    </w:tr>
    <w:tr w:rsidR="00232026" w:rsidRPr="00433279" w14:paraId="1E415385" w14:textId="77777777" w:rsidTr="002152DF">
      <w:trPr>
        <w:cantSplit/>
        <w:trHeight w:val="720"/>
      </w:trPr>
      <w:tc>
        <w:tcPr>
          <w:tcW w:w="792" w:type="pct"/>
          <w:tcBorders>
            <w:bottom w:val="single" w:sz="4" w:space="0" w:color="auto"/>
          </w:tcBorders>
          <w:shd w:val="clear" w:color="auto" w:fill="B8CCE4" w:themeFill="accent1" w:themeFillTint="66"/>
          <w:vAlign w:val="center"/>
        </w:tcPr>
        <w:p w14:paraId="53108FA9" w14:textId="77777777" w:rsidR="00232026" w:rsidRPr="00433279" w:rsidRDefault="006119B0" w:rsidP="004E760D">
          <w:pPr>
            <w:pStyle w:val="TH-TableHeading"/>
            <w:jc w:val="right"/>
          </w:pPr>
          <w:r>
            <w:t xml:space="preserve">Study Coordinator or Delegate </w:t>
          </w:r>
        </w:p>
      </w:tc>
      <w:tc>
        <w:tcPr>
          <w:tcW w:w="2357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D643477" w14:textId="77777777" w:rsidR="00232026" w:rsidRPr="00433279" w:rsidRDefault="00232026" w:rsidP="004E760D">
          <w:pPr>
            <w:pStyle w:val="TX-TableText"/>
            <w:ind w:left="0"/>
          </w:pPr>
        </w:p>
      </w:tc>
      <w:tc>
        <w:tcPr>
          <w:tcW w:w="683" w:type="pct"/>
          <w:tcBorders>
            <w:bottom w:val="single" w:sz="4" w:space="0" w:color="auto"/>
          </w:tcBorders>
          <w:shd w:val="clear" w:color="auto" w:fill="B8CCE4" w:themeFill="accent1" w:themeFillTint="66"/>
          <w:vAlign w:val="center"/>
        </w:tcPr>
        <w:p w14:paraId="483D8C8D" w14:textId="77777777" w:rsidR="00232026" w:rsidRPr="00433279" w:rsidRDefault="006119B0" w:rsidP="004E760D">
          <w:pPr>
            <w:pStyle w:val="TH-TableHeading"/>
            <w:jc w:val="right"/>
          </w:pPr>
          <w:r>
            <w:t xml:space="preserve">Principal Investigator: </w:t>
          </w:r>
        </w:p>
      </w:tc>
      <w:tc>
        <w:tcPr>
          <w:tcW w:w="1168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C45D675" w14:textId="77777777" w:rsidR="00232026" w:rsidRPr="00433279" w:rsidRDefault="00232026" w:rsidP="004E760D">
          <w:pPr>
            <w:pStyle w:val="TX-TableText"/>
            <w:ind w:left="0"/>
            <w:jc w:val="center"/>
          </w:pPr>
        </w:p>
      </w:tc>
    </w:tr>
  </w:tbl>
  <w:p w14:paraId="4B2DE976" w14:textId="77777777" w:rsidR="00A24CA1" w:rsidRDefault="00A24CA1" w:rsidP="0023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B650" w14:textId="77777777" w:rsidR="002B7EF2" w:rsidRDefault="002B7E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1032714" wp14:editId="40FEEDC7">
          <wp:simplePos x="0" y="0"/>
          <wp:positionH relativeFrom="margin">
            <wp:align>right</wp:align>
          </wp:positionH>
          <wp:positionV relativeFrom="margin">
            <wp:posOffset>-899160</wp:posOffset>
          </wp:positionV>
          <wp:extent cx="2951480" cy="84582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CA9">
      <w:rPr>
        <w:noProof/>
        <w:lang w:val="en-AU" w:eastAsia="en-AU"/>
      </w:rPr>
      <w:drawing>
        <wp:inline distT="0" distB="0" distL="0" distR="0" wp14:anchorId="0EF4B806" wp14:editId="5D4471A7">
          <wp:extent cx="1695450" cy="647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162FE"/>
    <w:multiLevelType w:val="hybridMultilevel"/>
    <w:tmpl w:val="25A82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23B63"/>
    <w:multiLevelType w:val="hybridMultilevel"/>
    <w:tmpl w:val="F440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1"/>
    <w:rsid w:val="00012D51"/>
    <w:rsid w:val="000207AD"/>
    <w:rsid w:val="00022F16"/>
    <w:rsid w:val="00031DF5"/>
    <w:rsid w:val="00043F57"/>
    <w:rsid w:val="00047CA7"/>
    <w:rsid w:val="0008448B"/>
    <w:rsid w:val="00093F81"/>
    <w:rsid w:val="000B7E69"/>
    <w:rsid w:val="000F0CEF"/>
    <w:rsid w:val="000F72BF"/>
    <w:rsid w:val="00104474"/>
    <w:rsid w:val="001066CD"/>
    <w:rsid w:val="00106D6A"/>
    <w:rsid w:val="001101E2"/>
    <w:rsid w:val="00117751"/>
    <w:rsid w:val="00122276"/>
    <w:rsid w:val="00131D04"/>
    <w:rsid w:val="001358D3"/>
    <w:rsid w:val="00161A39"/>
    <w:rsid w:val="001A58A5"/>
    <w:rsid w:val="001B5C68"/>
    <w:rsid w:val="001B6660"/>
    <w:rsid w:val="001B75C8"/>
    <w:rsid w:val="001C004D"/>
    <w:rsid w:val="001C5419"/>
    <w:rsid w:val="001F0EB6"/>
    <w:rsid w:val="00200D14"/>
    <w:rsid w:val="0021021C"/>
    <w:rsid w:val="002149EA"/>
    <w:rsid w:val="002152DF"/>
    <w:rsid w:val="00232026"/>
    <w:rsid w:val="00236BCE"/>
    <w:rsid w:val="00261E9D"/>
    <w:rsid w:val="00277B3E"/>
    <w:rsid w:val="00282383"/>
    <w:rsid w:val="002879A7"/>
    <w:rsid w:val="00291B07"/>
    <w:rsid w:val="002A794C"/>
    <w:rsid w:val="002B7EF2"/>
    <w:rsid w:val="002C0714"/>
    <w:rsid w:val="002D7A6D"/>
    <w:rsid w:val="002E4542"/>
    <w:rsid w:val="002F0B45"/>
    <w:rsid w:val="003040C5"/>
    <w:rsid w:val="003063FB"/>
    <w:rsid w:val="003218E4"/>
    <w:rsid w:val="003227E1"/>
    <w:rsid w:val="00327EDC"/>
    <w:rsid w:val="003323C1"/>
    <w:rsid w:val="003738D1"/>
    <w:rsid w:val="00375AF7"/>
    <w:rsid w:val="0039511E"/>
    <w:rsid w:val="003A5FBD"/>
    <w:rsid w:val="003B5139"/>
    <w:rsid w:val="003B612D"/>
    <w:rsid w:val="003D683C"/>
    <w:rsid w:val="00422860"/>
    <w:rsid w:val="00433279"/>
    <w:rsid w:val="00433EE2"/>
    <w:rsid w:val="004551A6"/>
    <w:rsid w:val="00455A64"/>
    <w:rsid w:val="0046580C"/>
    <w:rsid w:val="00470BF9"/>
    <w:rsid w:val="00475ADF"/>
    <w:rsid w:val="00475BBF"/>
    <w:rsid w:val="004934E4"/>
    <w:rsid w:val="00496B5E"/>
    <w:rsid w:val="004A2E08"/>
    <w:rsid w:val="004A7316"/>
    <w:rsid w:val="004B4344"/>
    <w:rsid w:val="004B4C3C"/>
    <w:rsid w:val="00505720"/>
    <w:rsid w:val="00507BB1"/>
    <w:rsid w:val="00512272"/>
    <w:rsid w:val="00515057"/>
    <w:rsid w:val="00516D3A"/>
    <w:rsid w:val="00517163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4E55"/>
    <w:rsid w:val="005F5022"/>
    <w:rsid w:val="005F5FFF"/>
    <w:rsid w:val="005F62C9"/>
    <w:rsid w:val="00607A78"/>
    <w:rsid w:val="006119B0"/>
    <w:rsid w:val="006260D2"/>
    <w:rsid w:val="00627255"/>
    <w:rsid w:val="00633C91"/>
    <w:rsid w:val="00635953"/>
    <w:rsid w:val="006620DD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B41C3"/>
    <w:rsid w:val="006C1FF3"/>
    <w:rsid w:val="006E7A7A"/>
    <w:rsid w:val="006F402A"/>
    <w:rsid w:val="0070437F"/>
    <w:rsid w:val="00717D15"/>
    <w:rsid w:val="0072483B"/>
    <w:rsid w:val="00747487"/>
    <w:rsid w:val="007478C2"/>
    <w:rsid w:val="00790220"/>
    <w:rsid w:val="00793181"/>
    <w:rsid w:val="007B22D7"/>
    <w:rsid w:val="007D2D3E"/>
    <w:rsid w:val="007D3889"/>
    <w:rsid w:val="007E29C2"/>
    <w:rsid w:val="007E700E"/>
    <w:rsid w:val="007F0999"/>
    <w:rsid w:val="007F30A8"/>
    <w:rsid w:val="007F3A6D"/>
    <w:rsid w:val="0080250B"/>
    <w:rsid w:val="00805004"/>
    <w:rsid w:val="008171B8"/>
    <w:rsid w:val="008210E0"/>
    <w:rsid w:val="0082616A"/>
    <w:rsid w:val="00832EFE"/>
    <w:rsid w:val="00834E9F"/>
    <w:rsid w:val="00845BEB"/>
    <w:rsid w:val="00847015"/>
    <w:rsid w:val="00871492"/>
    <w:rsid w:val="00877CB9"/>
    <w:rsid w:val="00885FBE"/>
    <w:rsid w:val="008A07E5"/>
    <w:rsid w:val="008A3780"/>
    <w:rsid w:val="008B343A"/>
    <w:rsid w:val="008C087F"/>
    <w:rsid w:val="008D5BD9"/>
    <w:rsid w:val="008E1E06"/>
    <w:rsid w:val="008E1EBF"/>
    <w:rsid w:val="00902B93"/>
    <w:rsid w:val="009158E1"/>
    <w:rsid w:val="00932A72"/>
    <w:rsid w:val="00956534"/>
    <w:rsid w:val="00985685"/>
    <w:rsid w:val="00993C07"/>
    <w:rsid w:val="009A6F87"/>
    <w:rsid w:val="009E2645"/>
    <w:rsid w:val="009F2655"/>
    <w:rsid w:val="009F7725"/>
    <w:rsid w:val="00A06315"/>
    <w:rsid w:val="00A24CA1"/>
    <w:rsid w:val="00A27E42"/>
    <w:rsid w:val="00A31795"/>
    <w:rsid w:val="00A550A1"/>
    <w:rsid w:val="00A61817"/>
    <w:rsid w:val="00A8729F"/>
    <w:rsid w:val="00A87EB7"/>
    <w:rsid w:val="00A9035F"/>
    <w:rsid w:val="00A9205D"/>
    <w:rsid w:val="00AA3F8C"/>
    <w:rsid w:val="00AA4DDE"/>
    <w:rsid w:val="00AB1662"/>
    <w:rsid w:val="00AB5283"/>
    <w:rsid w:val="00AC768B"/>
    <w:rsid w:val="00AD36EE"/>
    <w:rsid w:val="00AD4DA0"/>
    <w:rsid w:val="00B01C3E"/>
    <w:rsid w:val="00B02B23"/>
    <w:rsid w:val="00B03370"/>
    <w:rsid w:val="00B10200"/>
    <w:rsid w:val="00B138C6"/>
    <w:rsid w:val="00B362D2"/>
    <w:rsid w:val="00B515D1"/>
    <w:rsid w:val="00BB2E4E"/>
    <w:rsid w:val="00BB5A80"/>
    <w:rsid w:val="00BC6BA7"/>
    <w:rsid w:val="00C052A6"/>
    <w:rsid w:val="00C170D9"/>
    <w:rsid w:val="00C17826"/>
    <w:rsid w:val="00C40AA6"/>
    <w:rsid w:val="00C477B6"/>
    <w:rsid w:val="00C55605"/>
    <w:rsid w:val="00C86992"/>
    <w:rsid w:val="00C87596"/>
    <w:rsid w:val="00C90146"/>
    <w:rsid w:val="00C90A62"/>
    <w:rsid w:val="00CA43B8"/>
    <w:rsid w:val="00CC73CD"/>
    <w:rsid w:val="00CD07B3"/>
    <w:rsid w:val="00CF2161"/>
    <w:rsid w:val="00D21CA4"/>
    <w:rsid w:val="00D26BC2"/>
    <w:rsid w:val="00D35BAA"/>
    <w:rsid w:val="00D45C78"/>
    <w:rsid w:val="00D53D11"/>
    <w:rsid w:val="00D63527"/>
    <w:rsid w:val="00D73D58"/>
    <w:rsid w:val="00D85E9D"/>
    <w:rsid w:val="00D93100"/>
    <w:rsid w:val="00D97ECB"/>
    <w:rsid w:val="00DA23D5"/>
    <w:rsid w:val="00DC2375"/>
    <w:rsid w:val="00DD319C"/>
    <w:rsid w:val="00DE429C"/>
    <w:rsid w:val="00DF0DBD"/>
    <w:rsid w:val="00DF4009"/>
    <w:rsid w:val="00E1682A"/>
    <w:rsid w:val="00E171BF"/>
    <w:rsid w:val="00E320C6"/>
    <w:rsid w:val="00E40B65"/>
    <w:rsid w:val="00E536D4"/>
    <w:rsid w:val="00E62F44"/>
    <w:rsid w:val="00E712FB"/>
    <w:rsid w:val="00E76CE3"/>
    <w:rsid w:val="00E9339E"/>
    <w:rsid w:val="00EA44B2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A0D7C"/>
    <w:rsid w:val="00FB49A8"/>
    <w:rsid w:val="00FC5639"/>
    <w:rsid w:val="00FC774A"/>
    <w:rsid w:val="00FD714C"/>
    <w:rsid w:val="00FF377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D2D1C8"/>
  <w15:docId w15:val="{70C502B4-C6FF-4D8B-9AC9-C69F992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tabs>
        <w:tab w:val="clear" w:pos="1152"/>
      </w:tabs>
      <w:spacing w:after="240"/>
      <w:ind w:left="360" w:hanging="36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Title">
    <w:name w:val="Title"/>
    <w:basedOn w:val="Normal"/>
    <w:link w:val="TitleChar"/>
    <w:qFormat/>
    <w:rsid w:val="00AA3F8C"/>
    <w:pPr>
      <w:spacing w:before="120" w:after="240" w:line="240" w:lineRule="auto"/>
      <w:jc w:val="center"/>
    </w:pPr>
    <w:rPr>
      <w:rFonts w:ascii="Arial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3F8C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A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A3F8C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AA3F8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2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2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8A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4.safelinks.protection.outlook.com/?url=https%3A%2F%2Fwww.ehealth.nsw.gov.au%2Fprograms%2Fcorporate%2Fafm&amp;data=02%7C01%7CKate.Pascall%40quintiles.com%7C88a9c2d7e39645a4213f08d817fca51e%7C5989ece0f90e40bf9c791a7beccdb861%7C1%7C0%7C637285721187619656&amp;sdata=Tnnu7vymEAEEDDEQTmtdvwmongS9vxV57szL7PlHX%2Fg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B71D7DE1B640AE972D8DE975F87A" ma:contentTypeVersion="11" ma:contentTypeDescription="Create a new document." ma:contentTypeScope="" ma:versionID="90c04f93540e7fe40e5c21c57a2fec19">
  <xsd:schema xmlns:xsd="http://www.w3.org/2001/XMLSchema" xmlns:xs="http://www.w3.org/2001/XMLSchema" xmlns:p="http://schemas.microsoft.com/office/2006/metadata/properties" xmlns:ns3="5eda234e-7226-4d82-9636-b171068d422e" xmlns:ns4="b759d49b-62e9-458e-881b-f4131ca6fe0f" targetNamespace="http://schemas.microsoft.com/office/2006/metadata/properties" ma:root="true" ma:fieldsID="f3465724914ff7f3badb36d7911a60d0" ns3:_="" ns4:_="">
    <xsd:import namespace="5eda234e-7226-4d82-9636-b171068d422e"/>
    <xsd:import namespace="b759d49b-62e9-458e-881b-f4131ca6f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234e-7226-4d82-9636-b171068d4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d49b-62e9-458e-881b-f4131ca6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7CC1-0ADC-4188-AC01-C14215F603BF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5eda234e-7226-4d82-9636-b171068d422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59d49b-62e9-458e-881b-f4131ca6fe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C0EC50-D8A6-409F-9DE4-85225E68D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C4677-AA49-4B43-B84D-40EEF7F4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a234e-7226-4d82-9636-b171068d422e"/>
    <ds:schemaRef ds:uri="b759d49b-62e9-458e-881b-f4131ca6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E323C-58D9-43F3-AFFA-26A11F22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1009</TotalTime>
  <Pages>6</Pages>
  <Words>839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Study-wide Review Tool</vt:lpstr>
    </vt:vector>
  </TitlesOfParts>
  <Company>Westat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Study-wide Review Tool</dc:title>
  <dc:subject>To provide a structure for quality management review of study-wide materials and processes</dc:subject>
  <dc:creator>National Center for Complementary and Integrative Health</dc:creator>
  <cp:keywords>NIDCR, quality, management, study-wide, review, tool, principal investigators, NCCIH, NIH</cp:keywords>
  <cp:lastModifiedBy>Kelsey Dobell-Brown</cp:lastModifiedBy>
  <cp:revision>31</cp:revision>
  <dcterms:created xsi:type="dcterms:W3CDTF">2020-06-23T06:48:00Z</dcterms:created>
  <dcterms:modified xsi:type="dcterms:W3CDTF">2020-06-26T05:15:00Z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0x010100A2BFB71D7DE1B640AE972D8DE975F87A</vt:lpwstr>
  </property>
</Properties>
</file>